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121E3194" w14:textId="69E3881F" w:rsidR="004F302C" w:rsidRPr="00A3168A" w:rsidRDefault="004F302C" w:rsidP="004F302C">
      <w:pPr>
        <w:jc w:val="both"/>
        <w:rPr>
          <w:b/>
        </w:rPr>
      </w:pPr>
      <w:r w:rsidRPr="00A3168A">
        <w:rPr>
          <w:b/>
        </w:rPr>
        <w:t xml:space="preserve">          Kapitola: 02 – KANCELÁRIA PREZIDENTA  SLOVENSKEJ  REPUBLIKY</w:t>
      </w:r>
    </w:p>
    <w:p w14:paraId="2B60B476" w14:textId="77777777" w:rsidR="004F302C" w:rsidRPr="00A3168A" w:rsidRDefault="004F302C" w:rsidP="004F302C">
      <w:pPr>
        <w:rPr>
          <w:b/>
          <w:sz w:val="28"/>
          <w:szCs w:val="28"/>
        </w:rPr>
      </w:pPr>
    </w:p>
    <w:p w14:paraId="37F7E776" w14:textId="77777777" w:rsidR="004F302C" w:rsidRPr="00A3168A" w:rsidRDefault="004F302C" w:rsidP="004F302C">
      <w:pPr>
        <w:rPr>
          <w:b/>
          <w:sz w:val="28"/>
          <w:szCs w:val="28"/>
        </w:rPr>
      </w:pPr>
    </w:p>
    <w:p w14:paraId="3C77767B" w14:textId="77777777" w:rsidR="004F302C" w:rsidRPr="00A3168A" w:rsidRDefault="004F302C" w:rsidP="004F302C">
      <w:pPr>
        <w:rPr>
          <w:b/>
          <w:sz w:val="28"/>
          <w:szCs w:val="28"/>
        </w:rPr>
      </w:pPr>
    </w:p>
    <w:p w14:paraId="4E0913A4" w14:textId="77777777" w:rsidR="004F302C" w:rsidRPr="00A3168A" w:rsidRDefault="004F302C" w:rsidP="004F302C">
      <w:pPr>
        <w:rPr>
          <w:b/>
          <w:sz w:val="28"/>
          <w:szCs w:val="28"/>
        </w:rPr>
      </w:pPr>
    </w:p>
    <w:p w14:paraId="4D4354F1" w14:textId="77777777" w:rsidR="004F302C" w:rsidRPr="00A3168A" w:rsidRDefault="004F302C" w:rsidP="004F302C">
      <w:pPr>
        <w:rPr>
          <w:b/>
          <w:sz w:val="28"/>
          <w:szCs w:val="28"/>
        </w:rPr>
      </w:pPr>
    </w:p>
    <w:p w14:paraId="2B1E7DA4" w14:textId="0D15867F" w:rsidR="004F302C" w:rsidRPr="00A3168A" w:rsidRDefault="00526F8D" w:rsidP="000C200A">
      <w:pPr>
        <w:shd w:val="clear" w:color="auto" w:fill="FFFFFF" w:themeFill="background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>Číslo</w:t>
      </w:r>
      <w:r w:rsidR="004F302C" w:rsidRPr="00A3168A">
        <w:t xml:space="preserve">: </w:t>
      </w:r>
      <w:r w:rsidR="00CC560A" w:rsidRPr="00A3168A">
        <w:t>2678</w:t>
      </w:r>
      <w:r w:rsidR="004F302C" w:rsidRPr="00A3168A">
        <w:t>-20</w:t>
      </w:r>
      <w:r w:rsidR="00CC560A" w:rsidRPr="00A3168A">
        <w:t>21</w:t>
      </w:r>
      <w:r w:rsidR="004F302C" w:rsidRPr="00A3168A">
        <w:t>-</w:t>
      </w:r>
      <w:r w:rsidR="00973864" w:rsidRPr="00A3168A">
        <w:t>KPSR</w:t>
      </w:r>
    </w:p>
    <w:p w14:paraId="4BC6B91F" w14:textId="77777777" w:rsidR="004F302C" w:rsidRPr="00A3168A" w:rsidRDefault="004F302C" w:rsidP="004F302C"/>
    <w:p w14:paraId="21B8AB1D" w14:textId="77777777" w:rsidR="004F302C" w:rsidRPr="00A3168A" w:rsidRDefault="004F302C" w:rsidP="004F302C"/>
    <w:p w14:paraId="44892AA3" w14:textId="77777777" w:rsidR="004F302C" w:rsidRPr="00A3168A" w:rsidRDefault="004F302C" w:rsidP="004F302C"/>
    <w:p w14:paraId="5D358468" w14:textId="77777777" w:rsidR="004F302C" w:rsidRPr="00A3168A" w:rsidRDefault="004F302C" w:rsidP="004F302C"/>
    <w:p w14:paraId="692577C6" w14:textId="77777777" w:rsidR="004F302C" w:rsidRPr="00A3168A" w:rsidRDefault="004F302C" w:rsidP="004F302C">
      <w:pPr>
        <w:jc w:val="center"/>
        <w:rPr>
          <w:b/>
          <w:sz w:val="28"/>
          <w:szCs w:val="28"/>
        </w:rPr>
      </w:pPr>
      <w:r w:rsidRPr="00A3168A">
        <w:rPr>
          <w:b/>
          <w:sz w:val="28"/>
          <w:szCs w:val="28"/>
        </w:rPr>
        <w:t>N Á V R H</w:t>
      </w:r>
    </w:p>
    <w:p w14:paraId="5D70D9A5" w14:textId="77777777" w:rsidR="004F302C" w:rsidRPr="00A3168A" w:rsidRDefault="004F302C" w:rsidP="004F302C">
      <w:pPr>
        <w:jc w:val="center"/>
        <w:rPr>
          <w:b/>
          <w:sz w:val="28"/>
          <w:szCs w:val="28"/>
        </w:rPr>
      </w:pPr>
    </w:p>
    <w:p w14:paraId="4D5A6C4D" w14:textId="77777777" w:rsidR="004F302C" w:rsidRPr="00A3168A" w:rsidRDefault="004F302C" w:rsidP="004F302C">
      <w:pPr>
        <w:jc w:val="center"/>
        <w:rPr>
          <w:b/>
          <w:sz w:val="28"/>
          <w:szCs w:val="28"/>
        </w:rPr>
      </w:pPr>
      <w:r w:rsidRPr="00A3168A">
        <w:rPr>
          <w:b/>
          <w:sz w:val="28"/>
          <w:szCs w:val="28"/>
        </w:rPr>
        <w:t xml:space="preserve"> Z Á V E R E Č N É H O    Ú Č T U</w:t>
      </w:r>
    </w:p>
    <w:p w14:paraId="20F9AC41" w14:textId="77777777" w:rsidR="004F302C" w:rsidRPr="00A3168A" w:rsidRDefault="004F302C" w:rsidP="004F302C">
      <w:pPr>
        <w:jc w:val="center"/>
        <w:rPr>
          <w:b/>
          <w:sz w:val="28"/>
          <w:szCs w:val="28"/>
        </w:rPr>
      </w:pPr>
    </w:p>
    <w:p w14:paraId="2551EAC5" w14:textId="6CDE4874" w:rsidR="004F302C" w:rsidRPr="00A3168A" w:rsidRDefault="004F302C" w:rsidP="004F302C">
      <w:pPr>
        <w:jc w:val="center"/>
        <w:rPr>
          <w:b/>
          <w:sz w:val="28"/>
          <w:szCs w:val="28"/>
        </w:rPr>
      </w:pPr>
      <w:r w:rsidRPr="00A3168A">
        <w:rPr>
          <w:b/>
          <w:sz w:val="28"/>
          <w:szCs w:val="28"/>
        </w:rPr>
        <w:t xml:space="preserve">Z A    R O K    2 0 </w:t>
      </w:r>
      <w:r w:rsidR="00467E43" w:rsidRPr="00A3168A">
        <w:rPr>
          <w:b/>
          <w:sz w:val="28"/>
          <w:szCs w:val="28"/>
        </w:rPr>
        <w:t>2 0</w:t>
      </w:r>
    </w:p>
    <w:p w14:paraId="52A84109" w14:textId="77777777" w:rsidR="004F302C" w:rsidRPr="00A3168A" w:rsidRDefault="004F302C" w:rsidP="004F302C">
      <w:pPr>
        <w:jc w:val="center"/>
        <w:rPr>
          <w:b/>
          <w:sz w:val="28"/>
          <w:szCs w:val="28"/>
        </w:rPr>
      </w:pPr>
    </w:p>
    <w:p w14:paraId="1BD3DC53" w14:textId="77777777" w:rsidR="004F302C" w:rsidRPr="00A3168A" w:rsidRDefault="004F302C" w:rsidP="004F302C">
      <w:pPr>
        <w:jc w:val="center"/>
        <w:rPr>
          <w:b/>
        </w:rPr>
      </w:pPr>
    </w:p>
    <w:p w14:paraId="29B81EC4" w14:textId="77777777" w:rsidR="004F302C" w:rsidRPr="00A3168A" w:rsidRDefault="004F302C" w:rsidP="004F302C">
      <w:pPr>
        <w:jc w:val="center"/>
        <w:rPr>
          <w:b/>
        </w:rPr>
      </w:pPr>
    </w:p>
    <w:p w14:paraId="17810B0A" w14:textId="77777777" w:rsidR="004F302C" w:rsidRPr="00A3168A" w:rsidRDefault="004F302C" w:rsidP="004F302C">
      <w:pPr>
        <w:jc w:val="both"/>
        <w:rPr>
          <w:b/>
        </w:rPr>
      </w:pPr>
    </w:p>
    <w:p w14:paraId="4C913D33" w14:textId="77777777" w:rsidR="004F302C" w:rsidRPr="00A3168A" w:rsidRDefault="004F302C" w:rsidP="004F302C">
      <w:pPr>
        <w:jc w:val="both"/>
        <w:rPr>
          <w:b/>
        </w:rPr>
      </w:pPr>
    </w:p>
    <w:p w14:paraId="7AE59AB3" w14:textId="77777777" w:rsidR="004F302C" w:rsidRPr="00A3168A" w:rsidRDefault="004F302C" w:rsidP="004F302C">
      <w:pPr>
        <w:jc w:val="both"/>
        <w:rPr>
          <w:b/>
        </w:rPr>
      </w:pPr>
    </w:p>
    <w:p w14:paraId="556CC8AD" w14:textId="77777777" w:rsidR="004F302C" w:rsidRPr="00A3168A" w:rsidRDefault="004F302C" w:rsidP="004F302C">
      <w:pPr>
        <w:jc w:val="both"/>
        <w:rPr>
          <w:b/>
        </w:rPr>
      </w:pPr>
    </w:p>
    <w:p w14:paraId="495B743B" w14:textId="77777777" w:rsidR="004F302C" w:rsidRPr="00A3168A" w:rsidRDefault="004F302C" w:rsidP="004F302C">
      <w:pPr>
        <w:jc w:val="both"/>
        <w:rPr>
          <w:b/>
        </w:rPr>
      </w:pPr>
    </w:p>
    <w:p w14:paraId="5486DE0A" w14:textId="77777777" w:rsidR="004F302C" w:rsidRPr="00A3168A" w:rsidRDefault="004F302C" w:rsidP="004F302C">
      <w:pPr>
        <w:jc w:val="both"/>
        <w:rPr>
          <w:b/>
        </w:rPr>
      </w:pPr>
    </w:p>
    <w:p w14:paraId="550100F8" w14:textId="77777777" w:rsidR="004F302C" w:rsidRPr="00A3168A" w:rsidRDefault="004F302C" w:rsidP="004F302C">
      <w:pPr>
        <w:rPr>
          <w:b/>
        </w:rPr>
      </w:pPr>
      <w:r w:rsidRPr="00A3168A">
        <w:rPr>
          <w:b/>
        </w:rPr>
        <w:t xml:space="preserve">           </w:t>
      </w:r>
      <w:r w:rsidRPr="00A3168A">
        <w:rPr>
          <w:b/>
          <w:u w:val="single"/>
        </w:rPr>
        <w:t>PREDKLADÁ</w:t>
      </w:r>
      <w:r w:rsidRPr="00A3168A">
        <w:rPr>
          <w:b/>
        </w:rPr>
        <w:t>:</w:t>
      </w:r>
    </w:p>
    <w:p w14:paraId="228F140B" w14:textId="77777777" w:rsidR="004F302C" w:rsidRPr="00A3168A" w:rsidRDefault="004F302C" w:rsidP="004F302C"/>
    <w:p w14:paraId="6600BDB0" w14:textId="4511A271" w:rsidR="004F302C" w:rsidRPr="00A3168A" w:rsidRDefault="00467E43" w:rsidP="004F302C">
      <w:pPr>
        <w:rPr>
          <w:b/>
        </w:rPr>
      </w:pPr>
      <w:r w:rsidRPr="00A3168A">
        <w:t xml:space="preserve">           </w:t>
      </w:r>
      <w:r w:rsidR="00A3168A">
        <w:rPr>
          <w:b/>
        </w:rPr>
        <w:t>Metod Špaček</w:t>
      </w:r>
    </w:p>
    <w:p w14:paraId="457A0505" w14:textId="77777777" w:rsidR="004F302C" w:rsidRPr="00A3168A" w:rsidRDefault="004F302C" w:rsidP="004F302C">
      <w:r w:rsidRPr="00A3168A">
        <w:t xml:space="preserve">           vedúci Kancelárie prezidenta Slovenskej republiky</w:t>
      </w:r>
    </w:p>
    <w:p w14:paraId="751F62DC" w14:textId="77777777" w:rsidR="004F302C" w:rsidRPr="00A3168A" w:rsidRDefault="004F302C" w:rsidP="004F302C"/>
    <w:p w14:paraId="50208E27" w14:textId="77777777" w:rsidR="004F302C" w:rsidRPr="00A3168A" w:rsidRDefault="004F302C" w:rsidP="004F302C"/>
    <w:p w14:paraId="0BFA4E4E" w14:textId="77777777" w:rsidR="004F302C" w:rsidRPr="00A3168A" w:rsidRDefault="004F302C" w:rsidP="004F302C"/>
    <w:p w14:paraId="1C9ABB8A" w14:textId="77777777" w:rsidR="004F302C" w:rsidRPr="00A3168A" w:rsidRDefault="004F302C" w:rsidP="004F302C"/>
    <w:p w14:paraId="77194F42" w14:textId="77777777" w:rsidR="004F302C" w:rsidRPr="00A3168A" w:rsidRDefault="004F302C" w:rsidP="004F302C">
      <w:pPr>
        <w:rPr>
          <w:b/>
        </w:rPr>
      </w:pPr>
      <w:r w:rsidRPr="00A3168A">
        <w:rPr>
          <w:b/>
        </w:rPr>
        <w:t xml:space="preserve">           </w:t>
      </w:r>
      <w:r w:rsidRPr="00A3168A">
        <w:rPr>
          <w:b/>
          <w:u w:val="single"/>
        </w:rPr>
        <w:t>OBSAH</w:t>
      </w:r>
      <w:r w:rsidRPr="00A3168A">
        <w:rPr>
          <w:b/>
        </w:rPr>
        <w:t>:</w:t>
      </w:r>
    </w:p>
    <w:p w14:paraId="210284AC" w14:textId="77777777" w:rsidR="004F302C" w:rsidRPr="00A3168A" w:rsidRDefault="004F302C" w:rsidP="004F302C"/>
    <w:p w14:paraId="78A89153" w14:textId="77777777" w:rsidR="004F302C" w:rsidRPr="00A3168A" w:rsidRDefault="004F302C" w:rsidP="004F302C">
      <w:r w:rsidRPr="00A3168A">
        <w:t xml:space="preserve">          1.  Správa k návrhu záverečného účtu</w:t>
      </w:r>
    </w:p>
    <w:p w14:paraId="75DC0AFF" w14:textId="77777777" w:rsidR="004F302C" w:rsidRPr="00A3168A" w:rsidRDefault="004F302C" w:rsidP="004F302C">
      <w:r w:rsidRPr="00A3168A">
        <w:t xml:space="preserve">          2.  Tabuľková časť</w:t>
      </w:r>
    </w:p>
    <w:p w14:paraId="159EBD91" w14:textId="77777777" w:rsidR="004F302C" w:rsidRPr="00A3168A" w:rsidRDefault="004F302C" w:rsidP="004F302C">
      <w:r w:rsidRPr="00A3168A">
        <w:t xml:space="preserve">          3.  Prílohy</w:t>
      </w:r>
    </w:p>
    <w:p w14:paraId="05DB30EE" w14:textId="77777777" w:rsidR="004F302C" w:rsidRPr="00A3168A" w:rsidRDefault="004F302C" w:rsidP="004F302C"/>
    <w:p w14:paraId="44F0D85A" w14:textId="77777777" w:rsidR="004F302C" w:rsidRPr="00A3168A" w:rsidRDefault="004F302C" w:rsidP="004F302C"/>
    <w:p w14:paraId="66A8CFE2" w14:textId="77777777" w:rsidR="004F302C" w:rsidRPr="00A3168A" w:rsidRDefault="004F302C" w:rsidP="004F302C"/>
    <w:p w14:paraId="753BED1C" w14:textId="77777777" w:rsidR="004F302C" w:rsidRPr="00A3168A" w:rsidRDefault="004F302C" w:rsidP="004F302C"/>
    <w:p w14:paraId="17044D7A" w14:textId="77777777" w:rsidR="004F302C" w:rsidRPr="00A3168A" w:rsidRDefault="004F302C" w:rsidP="004F302C"/>
    <w:p w14:paraId="1B1CF001" w14:textId="77777777" w:rsidR="004F302C" w:rsidRPr="00A3168A" w:rsidRDefault="004F302C" w:rsidP="004F302C"/>
    <w:p w14:paraId="4030100F" w14:textId="77777777" w:rsidR="004F302C" w:rsidRPr="00A3168A" w:rsidRDefault="004F302C" w:rsidP="004F302C"/>
    <w:p w14:paraId="60C065A1" w14:textId="1073D3C4" w:rsidR="004F302C" w:rsidRPr="00A3168A" w:rsidRDefault="004F302C" w:rsidP="0011516F">
      <w:pPr>
        <w:jc w:val="center"/>
      </w:pPr>
      <w:r w:rsidRPr="00131148">
        <w:t>Bratislava</w:t>
      </w:r>
      <w:r w:rsidR="001669C6" w:rsidRPr="00131148">
        <w:t xml:space="preserve"> m</w:t>
      </w:r>
      <w:r w:rsidR="00B14878" w:rsidRPr="00131148">
        <w:t>áj</w:t>
      </w:r>
      <w:r w:rsidR="008D2777" w:rsidRPr="00131148">
        <w:t xml:space="preserve"> 2021</w:t>
      </w:r>
    </w:p>
    <w:p w14:paraId="5007ABED" w14:textId="18B69B9A" w:rsidR="004F302C" w:rsidRPr="00A3168A" w:rsidRDefault="004F302C" w:rsidP="004F302C">
      <w:pPr>
        <w:jc w:val="both"/>
        <w:rPr>
          <w:sz w:val="28"/>
          <w:szCs w:val="28"/>
        </w:rPr>
      </w:pPr>
    </w:p>
    <w:sdt>
      <w:sdtPr>
        <w:rPr>
          <w:rFonts w:eastAsia="Times New Roman" w:cs="Times New Roman"/>
          <w:b w:val="0"/>
          <w:sz w:val="24"/>
          <w:szCs w:val="24"/>
          <w:lang w:eastAsia="cs-CZ"/>
        </w:rPr>
        <w:id w:val="-13719457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976968D" w14:textId="3747BAB1" w:rsidR="00041256" w:rsidRPr="00A3168A" w:rsidRDefault="00041256">
          <w:pPr>
            <w:pStyle w:val="Hlavikaobsahu"/>
            <w:rPr>
              <w:rFonts w:cs="Times New Roman"/>
            </w:rPr>
          </w:pPr>
          <w:r w:rsidRPr="00A3168A">
            <w:rPr>
              <w:rFonts w:cs="Times New Roman"/>
            </w:rPr>
            <w:t>O</w:t>
          </w:r>
          <w:r w:rsidR="0011516F" w:rsidRPr="00A3168A">
            <w:rPr>
              <w:rFonts w:cs="Times New Roman"/>
            </w:rPr>
            <w:t> </w:t>
          </w:r>
          <w:r w:rsidRPr="00A3168A">
            <w:rPr>
              <w:rFonts w:cs="Times New Roman"/>
            </w:rPr>
            <w:t>b</w:t>
          </w:r>
          <w:r w:rsidR="0011516F" w:rsidRPr="00A3168A">
            <w:rPr>
              <w:rFonts w:cs="Times New Roman"/>
            </w:rPr>
            <w:t xml:space="preserve"> </w:t>
          </w:r>
          <w:r w:rsidRPr="00A3168A">
            <w:rPr>
              <w:rFonts w:cs="Times New Roman"/>
            </w:rPr>
            <w:t>s</w:t>
          </w:r>
          <w:r w:rsidR="0011516F" w:rsidRPr="00A3168A">
            <w:rPr>
              <w:rFonts w:cs="Times New Roman"/>
            </w:rPr>
            <w:t> </w:t>
          </w:r>
          <w:r w:rsidRPr="00A3168A">
            <w:rPr>
              <w:rFonts w:cs="Times New Roman"/>
            </w:rPr>
            <w:t>a</w:t>
          </w:r>
          <w:r w:rsidR="0011516F" w:rsidRPr="00A3168A">
            <w:rPr>
              <w:rFonts w:cs="Times New Roman"/>
            </w:rPr>
            <w:t> </w:t>
          </w:r>
          <w:r w:rsidRPr="00A3168A">
            <w:rPr>
              <w:rFonts w:cs="Times New Roman"/>
            </w:rPr>
            <w:t>h</w:t>
          </w:r>
        </w:p>
        <w:p w14:paraId="1AAB4809" w14:textId="77777777" w:rsidR="0011516F" w:rsidRPr="00A3168A" w:rsidRDefault="0011516F" w:rsidP="0011516F">
          <w:pPr>
            <w:rPr>
              <w:lang w:eastAsia="sk-SK"/>
            </w:rPr>
          </w:pPr>
        </w:p>
        <w:p w14:paraId="3FCB92BD" w14:textId="39D733F0" w:rsidR="005B06B0" w:rsidRPr="00A3168A" w:rsidRDefault="00041256">
          <w:pPr>
            <w:pStyle w:val="Obsah1"/>
            <w:rPr>
              <w:rFonts w:eastAsiaTheme="minorEastAsia"/>
              <w:noProof/>
              <w:sz w:val="22"/>
              <w:szCs w:val="22"/>
              <w:lang w:eastAsia="sk-SK"/>
            </w:rPr>
          </w:pPr>
          <w:r w:rsidRPr="00A3168A">
            <w:fldChar w:fldCharType="begin"/>
          </w:r>
          <w:r w:rsidRPr="00A3168A">
            <w:instrText xml:space="preserve"> TOC \o "1-3" \h \z \u </w:instrText>
          </w:r>
          <w:r w:rsidRPr="00A3168A">
            <w:fldChar w:fldCharType="separate"/>
          </w:r>
          <w:hyperlink w:anchor="_Toc71783110" w:history="1">
            <w:r w:rsidR="005B06B0" w:rsidRPr="00A3168A">
              <w:rPr>
                <w:rStyle w:val="Hypertextovprepojenie"/>
                <w:noProof/>
              </w:rPr>
              <w:t>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Správa o hospodárení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_Toc71783110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3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7FC923D7" w14:textId="58D97A4E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1" w:history="1">
            <w:r w:rsidR="005B06B0" w:rsidRPr="00A3168A">
              <w:rPr>
                <w:rStyle w:val="Hypertextovprepojenie"/>
                <w:noProof/>
              </w:rPr>
              <w:t>1.1.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Súhrnná charakteristika kapitoly a jej hospodárenia v roku 2020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_Toc71783111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3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6270DE5F" w14:textId="6E66865D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2" w:history="1">
            <w:r w:rsidR="005B06B0" w:rsidRPr="00A3168A">
              <w:rPr>
                <w:rStyle w:val="Hypertextovprepojenie"/>
                <w:noProof/>
              </w:rPr>
              <w:t>1.1.1.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Charakteristika činnosti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_Toc71783112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3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1F0FD8AD" w14:textId="4A7BA055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3" w:history="1">
            <w:r w:rsidR="005B06B0" w:rsidRPr="00A3168A">
              <w:rPr>
                <w:rStyle w:val="Hypertextovprepojenie"/>
                <w:noProof/>
              </w:rPr>
              <w:t>1.1.2.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Výsledok rozpočtového hospodárenia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_Toc71783113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4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3DF8297C" w14:textId="60D437E9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4" w:history="1">
            <w:r w:rsidR="005B06B0" w:rsidRPr="00A3168A">
              <w:rPr>
                <w:rStyle w:val="Hypertextovprepojenie"/>
                <w:noProof/>
              </w:rPr>
              <w:t>1.1.3.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Zhodnotenie plnenia záväzných ukazovateľov rozpočtu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_Toc71783114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6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745C3C35" w14:textId="4FD43DD2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5" w:history="1">
            <w:r w:rsidR="005B06B0" w:rsidRPr="00A3168A">
              <w:rPr>
                <w:rStyle w:val="Hypertextovprepojenie"/>
                <w:noProof/>
              </w:rPr>
              <w:t>1.2.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Príjmy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_Toc71783115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6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117EA602" w14:textId="709FABAD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6" w:history="1">
            <w:r w:rsidR="005B06B0" w:rsidRPr="00A3168A">
              <w:rPr>
                <w:rStyle w:val="Hypertextovprepojenie"/>
                <w:noProof/>
              </w:rPr>
              <w:t>1.2.1.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Príjmy kapitoly podľa ekonomickej klasifikácie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_Toc71783116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6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2B34BCE" w14:textId="1E515645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7" w:history="1">
            <w:r w:rsidR="005B06B0" w:rsidRPr="00A3168A">
              <w:rPr>
                <w:rStyle w:val="Hypertextovprepojenie"/>
                <w:noProof/>
              </w:rPr>
              <w:t>1.2.2.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Prostriedky prijaté z rozpočtu Európskej únie a iné prostriedky zo zahraničia poskytnuté Slovenskej republike na základe medzinárodných zmlúv uzavretých medzi Slovenskou republikou a inými štátmi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_Toc71783117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7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736FF6B3" w14:textId="6744B564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8" w:history="1">
            <w:r w:rsidR="005B06B0" w:rsidRPr="00A3168A">
              <w:rPr>
                <w:rStyle w:val="Hypertextovprepojenie"/>
                <w:noProof/>
              </w:rPr>
              <w:t>1.2.3.    Úpravy schváleného rozpočtu príjmov v priebehu roka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_Toc71783118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7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29581B34" w14:textId="744CC754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19" w:history="1">
            <w:r w:rsidR="005B06B0" w:rsidRPr="00A3168A">
              <w:rPr>
                <w:rStyle w:val="Hypertextovprepojenie"/>
                <w:noProof/>
              </w:rPr>
              <w:t>1.3.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Výdavky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_Toc71783119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7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34185C34" w14:textId="3416EDC4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0" w:history="1">
            <w:r w:rsidR="005B06B0" w:rsidRPr="00A3168A">
              <w:rPr>
                <w:rStyle w:val="Hypertextovprepojenie"/>
                <w:noProof/>
              </w:rPr>
              <w:t>1.3.1.    Výdavky kapitoly podľa ekonomickej klasifikácie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_Toc71783120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3A72DD80" w14:textId="63BA62D4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4" w:history="1">
            <w:r w:rsidR="005B06B0" w:rsidRPr="00A3168A">
              <w:rPr>
                <w:rStyle w:val="Hypertextovprepojenie"/>
                <w:noProof/>
              </w:rPr>
              <w:t>1.3.2.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Výdavky kapitoly podľa funkčnej klasifikácie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_Toc71783124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63A85C80" w14:textId="25087BDD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5" w:history="1">
            <w:r w:rsidR="005B06B0" w:rsidRPr="00A3168A">
              <w:rPr>
                <w:rStyle w:val="Hypertextovprepojenie"/>
                <w:noProof/>
              </w:rPr>
              <w:t>1.3.3.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Výdavky kapitoly hradené z európskych prostriedkov  a spolufinancovania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_Toc71783125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CF19502" w14:textId="6551FEBC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6" w:history="1">
            <w:r w:rsidR="005B06B0" w:rsidRPr="00A3168A">
              <w:rPr>
                <w:rStyle w:val="Hypertextovprepojenie"/>
                <w:noProof/>
              </w:rPr>
              <w:t>1.3.4.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Úpravy schváleného rozpočtu výdavkov v priebehu roka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_Toc71783126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6AEE46E4" w14:textId="27F48A31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7" w:history="1">
            <w:r w:rsidR="005B06B0" w:rsidRPr="00A3168A">
              <w:rPr>
                <w:rStyle w:val="Hypertextovprepojenie"/>
                <w:noProof/>
              </w:rPr>
              <w:t>1.4.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Finančné operácie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_Toc71783127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52227883" w14:textId="4AD263BB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8" w:history="1">
            <w:r w:rsidR="005B06B0" w:rsidRPr="00A3168A">
              <w:rPr>
                <w:rStyle w:val="Hypertextovprepojenie"/>
                <w:noProof/>
              </w:rPr>
              <w:t>1.4.1.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Príjmové finančné operácie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_Toc71783128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0F7611C9" w14:textId="79D176AF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29" w:history="1">
            <w:r w:rsidR="005B06B0" w:rsidRPr="00A3168A">
              <w:rPr>
                <w:rStyle w:val="Hypertextovprepojenie"/>
                <w:noProof/>
              </w:rPr>
              <w:t>1.4.2.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  <w:shd w:val="clear" w:color="auto" w:fill="FFFFFF"/>
              </w:rPr>
              <w:t>Výdavkové finančné operácie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_Toc71783129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3F94F77A" w14:textId="1DEA0540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0" w:history="1">
            <w:r w:rsidR="005B06B0" w:rsidRPr="00A3168A">
              <w:rPr>
                <w:rStyle w:val="Hypertextovprepojenie"/>
                <w:noProof/>
              </w:rPr>
              <w:t>1.5.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Príjmy, výdavky a finančné operácie súvisiace s prijatými opatreniami na  zmiernenie negatívnych následkov nebezpečnej nákazlivej ľudskej choroby   COVID-19 a opatreniami prijatými na zabránenie jej šíreniu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_Toc71783130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50E6EAA5" w14:textId="408F6A84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1" w:history="1">
            <w:r w:rsidR="005B06B0" w:rsidRPr="00A3168A">
              <w:rPr>
                <w:rStyle w:val="Hypertextovprepojenie"/>
                <w:noProof/>
              </w:rPr>
              <w:t>1.5.1.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Príjmy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_Toc71783131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5C4A84A" w14:textId="7571B84B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2" w:history="1">
            <w:r w:rsidR="005B06B0" w:rsidRPr="00A3168A">
              <w:rPr>
                <w:rStyle w:val="Hypertextovprepojenie"/>
                <w:noProof/>
              </w:rPr>
              <w:t>1.5.2.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Výdavky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_Toc71783132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18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2478EB63" w14:textId="00522090" w:rsidR="005B06B0" w:rsidRPr="00A3168A" w:rsidRDefault="00185E3D" w:rsidP="005B06B0">
          <w:pPr>
            <w:pStyle w:val="Obsah3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3" w:history="1">
            <w:r w:rsidR="005B06B0" w:rsidRPr="00A3168A">
              <w:rPr>
                <w:rStyle w:val="Hypertextovprepojenie"/>
                <w:noProof/>
              </w:rPr>
              <w:t>1.5.3.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Finančné operácie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_Toc71783133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19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DEAF9E6" w14:textId="4CC8BEA3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4" w:history="1">
            <w:r w:rsidR="005B06B0" w:rsidRPr="00A3168A">
              <w:rPr>
                <w:rStyle w:val="Hypertextovprepojenie"/>
                <w:noProof/>
              </w:rPr>
              <w:t>1.6.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Zhodnotenie zamestnanosti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_Toc71783134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19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A81CA97" w14:textId="409F3CE7" w:rsidR="005B06B0" w:rsidRPr="00A3168A" w:rsidRDefault="00185E3D">
          <w:pPr>
            <w:pStyle w:val="Obsah2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5" w:history="1">
            <w:r w:rsidR="005B06B0" w:rsidRPr="00A3168A">
              <w:rPr>
                <w:rStyle w:val="Hypertextovprepojenie"/>
                <w:noProof/>
              </w:rPr>
              <w:t>1.7.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Príspevkové organizácie v pôsobnosti kapitoly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_Toc71783135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20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7045DB1E" w14:textId="1916479F" w:rsidR="005B06B0" w:rsidRPr="00A3168A" w:rsidRDefault="00185E3D">
          <w:pPr>
            <w:pStyle w:val="Obsah1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6" w:history="1">
            <w:r w:rsidR="005B06B0" w:rsidRPr="00A3168A">
              <w:rPr>
                <w:rStyle w:val="Hypertextovprepojenie"/>
                <w:noProof/>
              </w:rPr>
              <w:t>2.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Tabuľková časť</w:t>
            </w:r>
            <w:r w:rsidR="005B06B0" w:rsidRPr="00A3168A">
              <w:rPr>
                <w:noProof/>
                <w:webHidden/>
              </w:rPr>
              <w:tab/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_Toc71783136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21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42F40D0D" w14:textId="05B76D03" w:rsidR="005B06B0" w:rsidRPr="00A3168A" w:rsidRDefault="00185E3D">
          <w:pPr>
            <w:pStyle w:val="Obsah1"/>
            <w:rPr>
              <w:rFonts w:eastAsiaTheme="minorEastAsia"/>
              <w:noProof/>
              <w:sz w:val="22"/>
              <w:szCs w:val="22"/>
              <w:lang w:eastAsia="sk-SK"/>
            </w:rPr>
          </w:pPr>
          <w:hyperlink w:anchor="_Toc71783137" w:history="1">
            <w:r w:rsidR="005B06B0" w:rsidRPr="00A3168A">
              <w:rPr>
                <w:rStyle w:val="Hypertextovprepojenie"/>
                <w:noProof/>
              </w:rPr>
              <w:t>3.</w:t>
            </w:r>
            <w:r w:rsidR="005B06B0" w:rsidRPr="00A3168A">
              <w:rPr>
                <w:rFonts w:eastAsiaTheme="minorEastAsia"/>
                <w:noProof/>
                <w:sz w:val="22"/>
                <w:szCs w:val="22"/>
                <w:lang w:eastAsia="sk-SK"/>
              </w:rPr>
              <w:tab/>
            </w:r>
            <w:r w:rsidR="005B06B0" w:rsidRPr="00A3168A">
              <w:rPr>
                <w:rStyle w:val="Hypertextovprepojenie"/>
                <w:noProof/>
              </w:rPr>
              <w:t>Prílohy..................................................................................................................................</w:t>
            </w:r>
            <w:r w:rsidR="005B06B0" w:rsidRPr="00A3168A">
              <w:rPr>
                <w:noProof/>
                <w:webHidden/>
              </w:rPr>
              <w:fldChar w:fldCharType="begin"/>
            </w:r>
            <w:r w:rsidR="005B06B0" w:rsidRPr="00A3168A">
              <w:rPr>
                <w:noProof/>
                <w:webHidden/>
              </w:rPr>
              <w:instrText xml:space="preserve"> PAGEREF _Toc71783137 \h </w:instrText>
            </w:r>
            <w:r w:rsidR="005B06B0" w:rsidRPr="00A3168A">
              <w:rPr>
                <w:noProof/>
                <w:webHidden/>
              </w:rPr>
            </w:r>
            <w:r w:rsidR="005B06B0" w:rsidRPr="00A3168A">
              <w:rPr>
                <w:noProof/>
                <w:webHidden/>
              </w:rPr>
              <w:fldChar w:fldCharType="separate"/>
            </w:r>
            <w:r w:rsidR="00A41B9D">
              <w:rPr>
                <w:noProof/>
                <w:webHidden/>
              </w:rPr>
              <w:t>26</w:t>
            </w:r>
            <w:r w:rsidR="005B06B0" w:rsidRPr="00A3168A">
              <w:rPr>
                <w:noProof/>
                <w:webHidden/>
              </w:rPr>
              <w:fldChar w:fldCharType="end"/>
            </w:r>
          </w:hyperlink>
        </w:p>
        <w:p w14:paraId="057A8B0C" w14:textId="295BBF6D" w:rsidR="00041256" w:rsidRPr="00A3168A" w:rsidRDefault="00041256">
          <w:r w:rsidRPr="00A3168A">
            <w:rPr>
              <w:b/>
              <w:bCs/>
            </w:rPr>
            <w:fldChar w:fldCharType="end"/>
          </w:r>
        </w:p>
      </w:sdtContent>
    </w:sdt>
    <w:p w14:paraId="307C22EF" w14:textId="114B96B7" w:rsidR="009D7B0D" w:rsidRPr="00A3168A" w:rsidRDefault="009D7B0D" w:rsidP="00F3189E">
      <w:pPr>
        <w:pStyle w:val="Nzov"/>
        <w:numPr>
          <w:ilvl w:val="0"/>
          <w:numId w:val="0"/>
        </w:numPr>
        <w:rPr>
          <w:rFonts w:ascii="Times New Roman" w:hAnsi="Times New Roman" w:cs="Times New Roman"/>
        </w:rPr>
      </w:pPr>
    </w:p>
    <w:p w14:paraId="1BE199EA" w14:textId="00067C95" w:rsidR="00BA4DE3" w:rsidRPr="00A3168A" w:rsidRDefault="00BA4DE3" w:rsidP="00BA4DE3"/>
    <w:p w14:paraId="13E61C73" w14:textId="3B8E5453" w:rsidR="00BA4DE3" w:rsidRPr="00A3168A" w:rsidRDefault="00BA4DE3" w:rsidP="00BA4DE3"/>
    <w:p w14:paraId="5E45BC88" w14:textId="1AB9680C" w:rsidR="00BA4DE3" w:rsidRPr="00A3168A" w:rsidRDefault="00BA4DE3" w:rsidP="00BA4DE3"/>
    <w:p w14:paraId="55D954F3" w14:textId="77777777" w:rsidR="00BA4DE3" w:rsidRPr="00A3168A" w:rsidRDefault="00BA4DE3" w:rsidP="00BA4DE3"/>
    <w:p w14:paraId="773BB2FA" w14:textId="77777777" w:rsidR="0019545A" w:rsidRPr="00A3168A" w:rsidRDefault="0019545A" w:rsidP="00BA4DE3">
      <w:pPr>
        <w:tabs>
          <w:tab w:val="center" w:pos="4536"/>
        </w:tabs>
        <w:jc w:val="both"/>
        <w:rPr>
          <w:sz w:val="28"/>
          <w:szCs w:val="28"/>
        </w:rPr>
      </w:pPr>
    </w:p>
    <w:p w14:paraId="4D82E8B2" w14:textId="4CD66761" w:rsidR="00A3168A" w:rsidRDefault="00A3168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848D113" w14:textId="77777777" w:rsidR="0011516F" w:rsidRPr="00A3168A" w:rsidRDefault="0011516F" w:rsidP="00BA4DE3">
      <w:pPr>
        <w:tabs>
          <w:tab w:val="center" w:pos="4536"/>
        </w:tabs>
        <w:jc w:val="both"/>
        <w:rPr>
          <w:sz w:val="28"/>
          <w:szCs w:val="28"/>
        </w:rPr>
        <w:sectPr w:rsidR="0011516F" w:rsidRPr="00A3168A" w:rsidSect="00995980">
          <w:footerReference w:type="default" r:id="rId8"/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15B866B" w14:textId="27B2C33C" w:rsidR="007629E7" w:rsidRPr="00C01B88" w:rsidRDefault="004F302C" w:rsidP="00456618">
      <w:pPr>
        <w:pStyle w:val="Nadpis1"/>
        <w:rPr>
          <w:rFonts w:cs="Times New Roman"/>
          <w:szCs w:val="28"/>
        </w:rPr>
      </w:pPr>
      <w:bookmarkStart w:id="0" w:name="_Toc71783110"/>
      <w:r w:rsidRPr="00C01B88">
        <w:rPr>
          <w:rFonts w:cs="Times New Roman"/>
          <w:szCs w:val="28"/>
        </w:rPr>
        <w:lastRenderedPageBreak/>
        <w:t>Správa o hospodárení kapitoly</w:t>
      </w:r>
      <w:bookmarkEnd w:id="0"/>
      <w:r w:rsidRPr="00C01B88">
        <w:rPr>
          <w:rFonts w:cs="Times New Roman"/>
          <w:szCs w:val="28"/>
        </w:rPr>
        <w:tab/>
      </w:r>
    </w:p>
    <w:p w14:paraId="5F40A876" w14:textId="77777777" w:rsidR="0019545A" w:rsidRPr="00A3168A" w:rsidRDefault="004F302C" w:rsidP="004F302C">
      <w:pPr>
        <w:tabs>
          <w:tab w:val="center" w:pos="0"/>
          <w:tab w:val="left" w:pos="567"/>
        </w:tabs>
        <w:jc w:val="both"/>
        <w:sectPr w:rsidR="0019545A" w:rsidRPr="00A3168A" w:rsidSect="00995980">
          <w:footerReference w:type="first" r:id="rId9"/>
          <w:type w:val="continuous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3168A">
        <w:tab/>
      </w:r>
    </w:p>
    <w:p w14:paraId="5D57A91C" w14:textId="46A50BF8" w:rsidR="00873D54" w:rsidRPr="00A3168A" w:rsidRDefault="00F14E69" w:rsidP="00456618">
      <w:pPr>
        <w:tabs>
          <w:tab w:val="center" w:pos="0"/>
          <w:tab w:val="left" w:pos="567"/>
        </w:tabs>
        <w:jc w:val="both"/>
      </w:pPr>
      <w:r w:rsidRPr="00A3168A">
        <w:tab/>
      </w:r>
      <w:r w:rsidR="001669C6" w:rsidRPr="00A3168A">
        <w:t>Podľa</w:t>
      </w:r>
      <w:r w:rsidR="004F302C" w:rsidRPr="00A3168A">
        <w:t xml:space="preserve"> § 29 ods. 4 zákona č. 523/2004 Z. z. o rozpočtových pravidlách verejnej správy a o zmene a doplnení niektorých zákonov Kancelária </w:t>
      </w:r>
      <w:r w:rsidR="00D658A1" w:rsidRPr="00A3168A">
        <w:t xml:space="preserve">prezidenta Slovenskej republiky </w:t>
      </w:r>
      <w:r w:rsidR="004F302C" w:rsidRPr="00A3168A">
        <w:t>(</w:t>
      </w:r>
      <w:r w:rsidR="009507C6" w:rsidRPr="00A3168A">
        <w:t>ďalej len</w:t>
      </w:r>
      <w:r w:rsidR="001669C6" w:rsidRPr="00A3168A">
        <w:t xml:space="preserve"> „</w:t>
      </w:r>
      <w:r w:rsidR="009507C6" w:rsidRPr="00A3168A">
        <w:t>Kancelária prezidenta</w:t>
      </w:r>
      <w:r w:rsidR="004F302C" w:rsidRPr="00A3168A">
        <w:t>“)</w:t>
      </w:r>
      <w:r w:rsidR="00D658A1" w:rsidRPr="00A3168A">
        <w:t xml:space="preserve"> </w:t>
      </w:r>
      <w:r w:rsidR="004F302C" w:rsidRPr="00A3168A">
        <w:t>predkladá návrh záverečného účtu za svoju rozpočtovú kapitolu za rok 20</w:t>
      </w:r>
      <w:r w:rsidR="00467E43" w:rsidRPr="00A3168A">
        <w:t>20</w:t>
      </w:r>
      <w:r w:rsidR="004F302C" w:rsidRPr="00A3168A">
        <w:t xml:space="preserve">. </w:t>
      </w:r>
    </w:p>
    <w:p w14:paraId="06FF8F70" w14:textId="0FA16F9C" w:rsidR="0071156D" w:rsidRPr="00A3168A" w:rsidRDefault="00873D54" w:rsidP="00855B6D">
      <w:pPr>
        <w:tabs>
          <w:tab w:val="center" w:pos="0"/>
        </w:tabs>
        <w:jc w:val="both"/>
      </w:pPr>
      <w:r w:rsidRPr="00A3168A">
        <w:t xml:space="preserve">         </w:t>
      </w:r>
      <w:r w:rsidR="00A9167B" w:rsidRPr="00A3168A">
        <w:t xml:space="preserve">Záverečný účet </w:t>
      </w:r>
      <w:r w:rsidR="004F302C" w:rsidRPr="00A3168A">
        <w:t>bol spracovaný a zostavený v súlade so Smernicou Ministerst</w:t>
      </w:r>
      <w:r w:rsidR="00855B6D" w:rsidRPr="00A3168A">
        <w:t>va financií S</w:t>
      </w:r>
      <w:r w:rsidR="00526F8D">
        <w:t>lovenskej republiky</w:t>
      </w:r>
      <w:r w:rsidR="004F302C" w:rsidRPr="00A3168A">
        <w:t xml:space="preserve"> (ďalej len „ministerstva financií“) č. MF</w:t>
      </w:r>
      <w:r w:rsidR="002C0FC1" w:rsidRPr="00A3168A">
        <w:t>/</w:t>
      </w:r>
      <w:r w:rsidR="008D68D6" w:rsidRPr="00A3168A">
        <w:t>005869</w:t>
      </w:r>
      <w:r w:rsidR="004F302C" w:rsidRPr="00A3168A">
        <w:t>/20</w:t>
      </w:r>
      <w:r w:rsidR="008D68D6" w:rsidRPr="00A3168A">
        <w:t>21</w:t>
      </w:r>
      <w:r w:rsidR="004311B8" w:rsidRPr="00A3168A">
        <w:t xml:space="preserve">-31 </w:t>
      </w:r>
      <w:r w:rsidR="004F302C" w:rsidRPr="00A3168A">
        <w:t>z</w:t>
      </w:r>
      <w:r w:rsidR="001669C6" w:rsidRPr="00A3168A">
        <w:t>o 4. februára 2021</w:t>
      </w:r>
      <w:r w:rsidR="00526F8D">
        <w:t xml:space="preserve"> </w:t>
      </w:r>
      <w:r w:rsidR="0071156D" w:rsidRPr="00A3168A">
        <w:t>na vypracovanie záverečných účtov kapitol štá</w:t>
      </w:r>
      <w:r w:rsidR="00D658A1" w:rsidRPr="00A3168A">
        <w:t xml:space="preserve">tneho rozpočtu a </w:t>
      </w:r>
      <w:r w:rsidR="004311B8" w:rsidRPr="00A3168A">
        <w:t>štátnych fondov</w:t>
      </w:r>
      <w:r w:rsidR="00D3346C" w:rsidRPr="00A3168A">
        <w:t xml:space="preserve"> za rok 2020</w:t>
      </w:r>
      <w:r w:rsidR="004311B8" w:rsidRPr="00A3168A">
        <w:t>.</w:t>
      </w:r>
    </w:p>
    <w:p w14:paraId="152E5D42" w14:textId="77777777" w:rsidR="004311B8" w:rsidRPr="00A3168A" w:rsidRDefault="004311B8" w:rsidP="004F302C">
      <w:pPr>
        <w:tabs>
          <w:tab w:val="center" w:pos="0"/>
        </w:tabs>
        <w:jc w:val="both"/>
      </w:pPr>
    </w:p>
    <w:p w14:paraId="2EBC6ED7" w14:textId="77777777" w:rsidR="004F302C" w:rsidRPr="00A3168A" w:rsidRDefault="004F302C" w:rsidP="004F302C">
      <w:pPr>
        <w:tabs>
          <w:tab w:val="center" w:pos="0"/>
        </w:tabs>
        <w:jc w:val="both"/>
      </w:pPr>
    </w:p>
    <w:p w14:paraId="0DF4FAFC" w14:textId="539C42CE" w:rsidR="008056EF" w:rsidRPr="00986F31" w:rsidRDefault="00131148" w:rsidP="00776011">
      <w:pPr>
        <w:pStyle w:val="Nadpis2"/>
        <w:numPr>
          <w:ilvl w:val="1"/>
          <w:numId w:val="28"/>
        </w:numPr>
        <w:rPr>
          <w:rFonts w:ascii="Times New Roman" w:hAnsi="Times New Roman" w:cs="Times New Roman"/>
          <w:b/>
        </w:rPr>
      </w:pPr>
      <w:bookmarkStart w:id="1" w:name="_Toc71783111"/>
      <w:r>
        <w:rPr>
          <w:rFonts w:ascii="Times New Roman" w:hAnsi="Times New Roman" w:cs="Times New Roman"/>
          <w:b/>
        </w:rPr>
        <w:t xml:space="preserve"> </w:t>
      </w:r>
      <w:r w:rsidR="004F302C" w:rsidRPr="00986F31">
        <w:rPr>
          <w:rFonts w:ascii="Times New Roman" w:hAnsi="Times New Roman" w:cs="Times New Roman"/>
          <w:b/>
        </w:rPr>
        <w:t>Súhrnná</w:t>
      </w:r>
      <w:r w:rsidR="007A0CEF" w:rsidRPr="00986F31">
        <w:rPr>
          <w:rFonts w:ascii="Times New Roman" w:hAnsi="Times New Roman" w:cs="Times New Roman"/>
          <w:b/>
        </w:rPr>
        <w:t xml:space="preserve"> </w:t>
      </w:r>
      <w:r w:rsidR="004F302C" w:rsidRPr="00986F31">
        <w:rPr>
          <w:rFonts w:ascii="Times New Roman" w:hAnsi="Times New Roman" w:cs="Times New Roman"/>
          <w:b/>
        </w:rPr>
        <w:t>charakteristika kapito</w:t>
      </w:r>
      <w:r w:rsidR="004311B8" w:rsidRPr="00986F31">
        <w:rPr>
          <w:rFonts w:ascii="Times New Roman" w:hAnsi="Times New Roman" w:cs="Times New Roman"/>
          <w:b/>
        </w:rPr>
        <w:t>ly a jej hospodárenia v roku 20</w:t>
      </w:r>
      <w:r w:rsidR="007B146B" w:rsidRPr="00986F31">
        <w:rPr>
          <w:rFonts w:ascii="Times New Roman" w:hAnsi="Times New Roman" w:cs="Times New Roman"/>
          <w:b/>
        </w:rPr>
        <w:t>20</w:t>
      </w:r>
      <w:bookmarkEnd w:id="1"/>
      <w:r w:rsidR="004F302C" w:rsidRPr="00986F31">
        <w:rPr>
          <w:rFonts w:ascii="Times New Roman" w:hAnsi="Times New Roman" w:cs="Times New Roman"/>
          <w:b/>
        </w:rPr>
        <w:tab/>
      </w:r>
    </w:p>
    <w:p w14:paraId="0A4D56F6" w14:textId="77777777" w:rsidR="00CF0320" w:rsidRPr="00A3168A" w:rsidRDefault="00CF0320" w:rsidP="00CF0320">
      <w:pPr>
        <w:pStyle w:val="Odsekzoznamu"/>
        <w:tabs>
          <w:tab w:val="center" w:pos="0"/>
        </w:tabs>
        <w:ind w:left="930"/>
        <w:jc w:val="both"/>
        <w:rPr>
          <w:b/>
        </w:rPr>
      </w:pPr>
    </w:p>
    <w:p w14:paraId="540DE4CC" w14:textId="357D4886" w:rsidR="00CF0320" w:rsidRPr="00A3168A" w:rsidRDefault="00776011" w:rsidP="00776011">
      <w:pPr>
        <w:pStyle w:val="Nadpis3"/>
        <w:numPr>
          <w:ilvl w:val="2"/>
          <w:numId w:val="28"/>
        </w:numPr>
        <w:rPr>
          <w:rFonts w:ascii="Times New Roman" w:hAnsi="Times New Roman" w:cs="Times New Roman"/>
        </w:rPr>
      </w:pPr>
      <w:r w:rsidRPr="00A3168A">
        <w:rPr>
          <w:rFonts w:ascii="Times New Roman" w:hAnsi="Times New Roman" w:cs="Times New Roman"/>
        </w:rPr>
        <w:t xml:space="preserve"> </w:t>
      </w:r>
      <w:bookmarkStart w:id="2" w:name="_Toc71783112"/>
      <w:r w:rsidR="00CF0320" w:rsidRPr="00A3168A">
        <w:rPr>
          <w:rFonts w:ascii="Times New Roman" w:hAnsi="Times New Roman" w:cs="Times New Roman"/>
        </w:rPr>
        <w:t>Charakteristika činnosti kapitoly</w:t>
      </w:r>
      <w:bookmarkEnd w:id="2"/>
      <w:r w:rsidR="00CF0320" w:rsidRPr="00A3168A">
        <w:rPr>
          <w:rFonts w:ascii="Times New Roman" w:hAnsi="Times New Roman" w:cs="Times New Roman"/>
        </w:rPr>
        <w:tab/>
      </w:r>
    </w:p>
    <w:p w14:paraId="340F4040" w14:textId="77777777" w:rsidR="004F302C" w:rsidRPr="00A3168A" w:rsidRDefault="004F302C" w:rsidP="008056EF">
      <w:pPr>
        <w:tabs>
          <w:tab w:val="center" w:pos="0"/>
        </w:tabs>
        <w:jc w:val="both"/>
      </w:pPr>
    </w:p>
    <w:p w14:paraId="48209E6F" w14:textId="7688ECEF" w:rsidR="00072399" w:rsidRDefault="008056EF" w:rsidP="003024A2">
      <w:pPr>
        <w:tabs>
          <w:tab w:val="center" w:pos="4536"/>
        </w:tabs>
        <w:jc w:val="both"/>
      </w:pPr>
      <w:r w:rsidRPr="00A3168A">
        <w:t xml:space="preserve">          Kancelária </w:t>
      </w:r>
      <w:r w:rsidR="009507C6" w:rsidRPr="00A3168A">
        <w:t>p</w:t>
      </w:r>
      <w:r w:rsidRPr="00A3168A">
        <w:t>rezidenta</w:t>
      </w:r>
      <w:r w:rsidR="00F0371B" w:rsidRPr="00A3168A">
        <w:t xml:space="preserve"> </w:t>
      </w:r>
      <w:r w:rsidR="003A10C1" w:rsidRPr="00A3168A">
        <w:t xml:space="preserve">je </w:t>
      </w:r>
      <w:r w:rsidR="004447CF" w:rsidRPr="00A3168A">
        <w:t xml:space="preserve">právnická osoba, </w:t>
      </w:r>
      <w:r w:rsidR="004C7411" w:rsidRPr="00A3168A">
        <w:t>rozpočtová organizácia, ktorá má samostatnú rozpočtovú kapitolu</w:t>
      </w:r>
      <w:r w:rsidR="005C5B1A" w:rsidRPr="00A3168A">
        <w:t xml:space="preserve"> štátneho rozpočtu Slovenskej republiky. Jej pôsobnosť je vymedzená zákonom č. 16/1993 Z. z. o Kancelárii prezidenta Slovenskej republiky v znení neskorších predpisov.</w:t>
      </w:r>
      <w:r w:rsidR="00704F53" w:rsidRPr="00A3168A">
        <w:t xml:space="preserve"> </w:t>
      </w:r>
    </w:p>
    <w:p w14:paraId="7DF69172" w14:textId="77777777" w:rsidR="004A042D" w:rsidRPr="00A3168A" w:rsidRDefault="004A042D" w:rsidP="003024A2">
      <w:pPr>
        <w:tabs>
          <w:tab w:val="center" w:pos="4536"/>
        </w:tabs>
        <w:jc w:val="both"/>
      </w:pPr>
    </w:p>
    <w:p w14:paraId="266AD13B" w14:textId="2A75F1E5" w:rsidR="0086107C" w:rsidRDefault="00072399" w:rsidP="004B677C">
      <w:pPr>
        <w:tabs>
          <w:tab w:val="left" w:pos="567"/>
          <w:tab w:val="center" w:pos="4536"/>
        </w:tabs>
        <w:jc w:val="both"/>
      </w:pPr>
      <w:r w:rsidRPr="00A3168A">
        <w:t xml:space="preserve">         </w:t>
      </w:r>
      <w:r w:rsidR="0086107C" w:rsidRPr="00A3168A">
        <w:t>V hodnotenom rozpočtovom období Kancelária prezidenta</w:t>
      </w:r>
      <w:r w:rsidR="00E1183C" w:rsidRPr="00A3168A">
        <w:t xml:space="preserve"> </w:t>
      </w:r>
      <w:r w:rsidR="0086107C" w:rsidRPr="00A3168A">
        <w:t>zabezpečovala všetky úlohy a povinnosti, ktoré súvis</w:t>
      </w:r>
      <w:r w:rsidR="004F4C4A" w:rsidRPr="00A3168A">
        <w:t>eli s výkonom funkcie prezidentky</w:t>
      </w:r>
      <w:r w:rsidR="0086107C" w:rsidRPr="00A3168A">
        <w:t xml:space="preserve"> Slovenskej republiky vyplývajúce z</w:t>
      </w:r>
      <w:r w:rsidR="004C7411" w:rsidRPr="00A3168A">
        <w:t> ústavy</w:t>
      </w:r>
      <w:r w:rsidR="0086107C" w:rsidRPr="00A3168A">
        <w:t>, ústavných zákonov a z iných všeobec</w:t>
      </w:r>
      <w:r w:rsidR="001D4CC1" w:rsidRPr="00A3168A">
        <w:t>ne záväzných právnych predpisov,</w:t>
      </w:r>
      <w:r w:rsidR="0086107C" w:rsidRPr="00A3168A">
        <w:t> s politickou a verejnou činnosťou prezident</w:t>
      </w:r>
      <w:r w:rsidR="003A10C1" w:rsidRPr="00A3168A">
        <w:t>ky</w:t>
      </w:r>
      <w:r w:rsidR="0086107C" w:rsidRPr="00A3168A">
        <w:t xml:space="preserve"> republiky.</w:t>
      </w:r>
    </w:p>
    <w:p w14:paraId="09CDB663" w14:textId="77777777" w:rsidR="004A042D" w:rsidRPr="00A3168A" w:rsidRDefault="004A042D" w:rsidP="004B677C">
      <w:pPr>
        <w:tabs>
          <w:tab w:val="left" w:pos="567"/>
          <w:tab w:val="center" w:pos="4536"/>
        </w:tabs>
        <w:jc w:val="both"/>
      </w:pPr>
    </w:p>
    <w:p w14:paraId="6AE99428" w14:textId="3E695FC8" w:rsidR="008427C6" w:rsidRPr="00A3168A" w:rsidRDefault="00145D4E" w:rsidP="003024A2">
      <w:pPr>
        <w:tabs>
          <w:tab w:val="center" w:pos="4536"/>
        </w:tabs>
        <w:jc w:val="both"/>
      </w:pPr>
      <w:r w:rsidRPr="00A3168A">
        <w:t xml:space="preserve">          </w:t>
      </w:r>
      <w:r w:rsidR="0086107C" w:rsidRPr="00A3168A">
        <w:t xml:space="preserve">Kancelária prezidenta, okrem uvedených základných úloh, </w:t>
      </w:r>
      <w:r w:rsidR="00562C9C" w:rsidRPr="00A3168A">
        <w:t>plnil</w:t>
      </w:r>
      <w:r w:rsidR="0086107C" w:rsidRPr="00A3168A">
        <w:t>a a zabezpečovala ďalšie úlohy, ktoré súvis</w:t>
      </w:r>
      <w:r w:rsidR="00750BCF" w:rsidRPr="00A3168A">
        <w:t>eli</w:t>
      </w:r>
      <w:r w:rsidR="0086107C" w:rsidRPr="00A3168A">
        <w:t xml:space="preserve"> s protokolárnymi povinnosťami prezident</w:t>
      </w:r>
      <w:r w:rsidR="004F4C4A" w:rsidRPr="00A3168A">
        <w:t>ky</w:t>
      </w:r>
      <w:r w:rsidR="0086107C" w:rsidRPr="00A3168A">
        <w:t xml:space="preserve"> republiky, plnila odborné, organizačné a materiálno-technické úlohy, ktoré vyplývali zo zákonov a iných všeobecne záväzných právnych predpisov, vykonávala štátnu správu na úseku pamiatkovej starostlivosti k </w:t>
      </w:r>
      <w:r w:rsidR="003A10C1" w:rsidRPr="00A3168A">
        <w:t>trom nehnuteľnostiam vyhláseným</w:t>
      </w:r>
      <w:r w:rsidR="0086107C" w:rsidRPr="00A3168A">
        <w:t xml:space="preserve"> za národné kultúrne pamiatky</w:t>
      </w:r>
      <w:r w:rsidR="00750BCF" w:rsidRPr="00A3168A">
        <w:t xml:space="preserve">, k hnuteľným veciam, ktoré majú historickú hodnotu a nachádzajú sa v daných </w:t>
      </w:r>
      <w:r w:rsidR="008427C6" w:rsidRPr="00A3168A">
        <w:t>objektoch, umeleckým dielam a tiež v oblasti správy a ochrany archívnych dokumentov s vysokou dokumentárnou hodnotou.</w:t>
      </w:r>
    </w:p>
    <w:p w14:paraId="1DE5A690" w14:textId="06E347C7" w:rsidR="00F80959" w:rsidRDefault="00145D4E" w:rsidP="00F80959">
      <w:pPr>
        <w:tabs>
          <w:tab w:val="left" w:pos="567"/>
          <w:tab w:val="center" w:pos="4536"/>
        </w:tabs>
        <w:jc w:val="both"/>
      </w:pPr>
      <w:r w:rsidRPr="00A3168A">
        <w:t xml:space="preserve">          </w:t>
      </w:r>
      <w:r w:rsidR="008427C6" w:rsidRPr="00A3168A">
        <w:t>Kancelária prezidenta plnila rad konkrétnych každodenných úloh vyplývajúcich z ústavného postavenia prezident</w:t>
      </w:r>
      <w:r w:rsidR="003A10C1" w:rsidRPr="00A3168A">
        <w:t>ky</w:t>
      </w:r>
      <w:r w:rsidR="008427C6" w:rsidRPr="00A3168A">
        <w:t xml:space="preserve"> republiky a vo vzťahoch</w:t>
      </w:r>
      <w:r w:rsidR="0091742D" w:rsidRPr="00A3168A">
        <w:t xml:space="preserve"> hlavy štátu k jednotlivým štátnym orgánom, samosprávam i konkrétnym občanom. Okrem stabil</w:t>
      </w:r>
      <w:r w:rsidR="000A1582" w:rsidRPr="00A3168A">
        <w:t>ných úloh</w:t>
      </w:r>
      <w:r w:rsidR="0091742D" w:rsidRPr="00A3168A">
        <w:t xml:space="preserve"> plnili zamestnanci Kancelárie prezidenta </w:t>
      </w:r>
      <w:r w:rsidR="000A1582" w:rsidRPr="00A3168A">
        <w:t>aj úlohy súvis</w:t>
      </w:r>
      <w:r w:rsidR="003A10C1" w:rsidRPr="00A3168A">
        <w:t>iace s reprezentáciou prezidentky</w:t>
      </w:r>
      <w:r w:rsidR="000A1582" w:rsidRPr="00A3168A">
        <w:t xml:space="preserve"> republiky vo</w:t>
      </w:r>
      <w:r w:rsidR="00597B16" w:rsidRPr="00A3168A">
        <w:t xml:space="preserve"> vnútri štátu i v zahraničí.</w:t>
      </w:r>
    </w:p>
    <w:p w14:paraId="58454980" w14:textId="77777777" w:rsidR="004A042D" w:rsidRPr="00A3168A" w:rsidRDefault="004A042D" w:rsidP="00F80959">
      <w:pPr>
        <w:tabs>
          <w:tab w:val="left" w:pos="567"/>
          <w:tab w:val="center" w:pos="4536"/>
        </w:tabs>
        <w:jc w:val="both"/>
      </w:pPr>
    </w:p>
    <w:p w14:paraId="06586DA2" w14:textId="5C37E869" w:rsidR="000B5F8E" w:rsidRDefault="00E56C85" w:rsidP="003024A2">
      <w:pPr>
        <w:tabs>
          <w:tab w:val="center" w:pos="4536"/>
        </w:tabs>
        <w:jc w:val="both"/>
      </w:pPr>
      <w:r w:rsidRPr="00A3168A">
        <w:t xml:space="preserve">           </w:t>
      </w:r>
      <w:r w:rsidR="000B5F8E">
        <w:tab/>
      </w:r>
      <w:r w:rsidR="000B5F8E" w:rsidRPr="000B5F8E">
        <w:t xml:space="preserve">Dôraz prezidentky Slovenskej republiky na oblasť </w:t>
      </w:r>
      <w:r w:rsidR="00526F8D">
        <w:t xml:space="preserve">životného prostredia sa odrazil </w:t>
      </w:r>
      <w:r w:rsidR="004342BA">
        <w:t xml:space="preserve">                 </w:t>
      </w:r>
      <w:r w:rsidR="000B5F8E" w:rsidRPr="000B5F8E">
        <w:t xml:space="preserve">na pokračujúcich zmenách vo fungovaní Kancelárie prezidenta v rámci projektu Zelená kancelária. Kancelária </w:t>
      </w:r>
      <w:r w:rsidR="00526F8D">
        <w:t xml:space="preserve">prezidenta </w:t>
      </w:r>
      <w:r w:rsidR="000B5F8E" w:rsidRPr="000B5F8E">
        <w:t xml:space="preserve">poňala svoje </w:t>
      </w:r>
      <w:r w:rsidR="00526F8D">
        <w:t>„</w:t>
      </w:r>
      <w:r w:rsidR="000B5F8E" w:rsidRPr="000B5F8E">
        <w:t>ozelenenie</w:t>
      </w:r>
      <w:r w:rsidR="00526F8D">
        <w:t>“</w:t>
      </w:r>
      <w:r w:rsidR="000B5F8E" w:rsidRPr="000B5F8E">
        <w:t xml:space="preserve"> prierezovo a vykonávala aktivity zamerané </w:t>
      </w:r>
      <w:r w:rsidR="00526F8D">
        <w:br/>
      </w:r>
      <w:r w:rsidR="000B5F8E" w:rsidRPr="000B5F8E">
        <w:t>na odpadové hospodárstvo (audit odpadov), zelené verejné obstarávanie, podporu biodiverzity (inštalácia včelích úľov v Prezidentskej záhrade), či na problematiku zmeny klímy (nákup elektrickej energie so zárukou pôvodu z obnoviteľných zdrojov). Kľúčovým momentom bolo prijatie záväzku dosiahnuť uhlíkovú neutralitu do roku 2030, ktorý zadefinuje chod Kancelárie prezidenta v nasledujúcich rokoch.</w:t>
      </w:r>
    </w:p>
    <w:p w14:paraId="67DBF4D6" w14:textId="77777777" w:rsidR="004A042D" w:rsidRDefault="004A042D" w:rsidP="003024A2">
      <w:pPr>
        <w:tabs>
          <w:tab w:val="center" w:pos="4536"/>
        </w:tabs>
        <w:jc w:val="both"/>
      </w:pPr>
    </w:p>
    <w:p w14:paraId="2C984950" w14:textId="52FEC43A" w:rsidR="003A10C1" w:rsidRDefault="000B5F8E" w:rsidP="000B5F8E">
      <w:pPr>
        <w:jc w:val="both"/>
      </w:pPr>
      <w:r>
        <w:lastRenderedPageBreak/>
        <w:tab/>
      </w:r>
      <w:r w:rsidR="00787BAF" w:rsidRPr="00A3168A">
        <w:t>V</w:t>
      </w:r>
      <w:r w:rsidR="00873D54" w:rsidRPr="00A3168A">
        <w:t> </w:t>
      </w:r>
      <w:r w:rsidR="00467E43" w:rsidRPr="00A3168A">
        <w:t>roku 2020</w:t>
      </w:r>
      <w:r w:rsidR="00FC0273" w:rsidRPr="00A3168A">
        <w:t xml:space="preserve"> i napriek pandémii</w:t>
      </w:r>
      <w:r w:rsidR="00137F53" w:rsidRPr="00A3168A">
        <w:t xml:space="preserve"> </w:t>
      </w:r>
      <w:r w:rsidR="003A10C1" w:rsidRPr="00A3168A">
        <w:t xml:space="preserve">ochorenia </w:t>
      </w:r>
      <w:r w:rsidR="00137F53" w:rsidRPr="00A3168A">
        <w:t>COVID-19</w:t>
      </w:r>
      <w:r w:rsidR="004447CF" w:rsidRPr="00A3168A">
        <w:t xml:space="preserve"> vo svete i na Slovensku </w:t>
      </w:r>
      <w:r w:rsidR="00787BAF" w:rsidRPr="00A3168A">
        <w:t xml:space="preserve">Kancelária prezidenta zabezpečovala viacero </w:t>
      </w:r>
      <w:r w:rsidR="003A10C1" w:rsidRPr="00A3168A">
        <w:t>zahraničných ciest prezidentky Slovenskej republiky</w:t>
      </w:r>
      <w:r w:rsidR="00183A89" w:rsidRPr="00A3168A">
        <w:t xml:space="preserve"> a</w:t>
      </w:r>
      <w:r w:rsidR="00873D54" w:rsidRPr="00A3168A">
        <w:t> </w:t>
      </w:r>
      <w:r w:rsidR="00183A89" w:rsidRPr="00A3168A">
        <w:t>taktiež množstvo domácich a</w:t>
      </w:r>
      <w:r w:rsidR="00873D54" w:rsidRPr="00A3168A">
        <w:t> </w:t>
      </w:r>
      <w:r w:rsidR="00183A89" w:rsidRPr="00A3168A">
        <w:t>zahraničných prijatí v</w:t>
      </w:r>
      <w:r w:rsidR="00873D54" w:rsidRPr="00A3168A">
        <w:t> </w:t>
      </w:r>
      <w:r w:rsidR="003A10C1" w:rsidRPr="00A3168A">
        <w:t>sídle hlavy štátu v Bratislave</w:t>
      </w:r>
      <w:r w:rsidR="000A07AF" w:rsidRPr="00A3168A">
        <w:t xml:space="preserve">. </w:t>
      </w:r>
    </w:p>
    <w:p w14:paraId="12BAB852" w14:textId="77777777" w:rsidR="004A042D" w:rsidRPr="00A3168A" w:rsidRDefault="004A042D" w:rsidP="000B5F8E">
      <w:pPr>
        <w:jc w:val="both"/>
      </w:pPr>
    </w:p>
    <w:p w14:paraId="11C70A3D" w14:textId="2F126E93" w:rsidR="008D2777" w:rsidRDefault="003A10C1" w:rsidP="003A10C1">
      <w:pPr>
        <w:tabs>
          <w:tab w:val="center" w:pos="0"/>
        </w:tabs>
        <w:jc w:val="both"/>
      </w:pPr>
      <w:r w:rsidRPr="00A3168A">
        <w:tab/>
      </w:r>
      <w:r w:rsidR="004447CF" w:rsidRPr="00A3168A">
        <w:t xml:space="preserve">Celkovo prezidentka </w:t>
      </w:r>
      <w:r w:rsidR="008B5ED6" w:rsidRPr="00A3168A">
        <w:t xml:space="preserve">v roku 2020 </w:t>
      </w:r>
      <w:r w:rsidR="004447CF" w:rsidRPr="00A3168A">
        <w:t xml:space="preserve">uskutočnila </w:t>
      </w:r>
      <w:r w:rsidR="008B5ED6" w:rsidRPr="00A3168A">
        <w:t>6</w:t>
      </w:r>
      <w:r w:rsidR="004447CF" w:rsidRPr="00A3168A">
        <w:t xml:space="preserve"> </w:t>
      </w:r>
      <w:r w:rsidR="008B5ED6" w:rsidRPr="00A3168A">
        <w:t>zahraničných ciest: pracovná</w:t>
      </w:r>
      <w:r w:rsidR="006B766E" w:rsidRPr="00A3168A">
        <w:t xml:space="preserve"> cest</w:t>
      </w:r>
      <w:r w:rsidR="008B5ED6" w:rsidRPr="00A3168A">
        <w:t>a</w:t>
      </w:r>
      <w:r w:rsidRPr="00A3168A">
        <w:t xml:space="preserve"> </w:t>
      </w:r>
      <w:r w:rsidR="00526F8D">
        <w:br/>
      </w:r>
      <w:r w:rsidRPr="00A3168A">
        <w:t>do</w:t>
      </w:r>
      <w:r w:rsidR="006B766E" w:rsidRPr="00A3168A">
        <w:t xml:space="preserve"> </w:t>
      </w:r>
      <w:r w:rsidR="008D2777" w:rsidRPr="00A3168A">
        <w:t>Izrael</w:t>
      </w:r>
      <w:r w:rsidRPr="00A3168A">
        <w:t>a</w:t>
      </w:r>
      <w:r w:rsidR="00E65185" w:rsidRPr="00A3168A">
        <w:t xml:space="preserve"> </w:t>
      </w:r>
      <w:r w:rsidR="008B5ED6" w:rsidRPr="00A3168A">
        <w:t xml:space="preserve">a do Poľskej republiky </w:t>
      </w:r>
      <w:r w:rsidR="00E65185" w:rsidRPr="00A3168A">
        <w:t>– spomienková ceremónia pri príležitosti 75. výročia oslobodenia koncentračného tábora Auschwitz-Birkenau</w:t>
      </w:r>
      <w:r w:rsidRPr="00A3168A">
        <w:t>; do Nemeckej</w:t>
      </w:r>
      <w:r w:rsidR="008D2777" w:rsidRPr="00A3168A">
        <w:t xml:space="preserve"> spolkov</w:t>
      </w:r>
      <w:r w:rsidRPr="00A3168A">
        <w:t>ej</w:t>
      </w:r>
      <w:r w:rsidR="008D2777" w:rsidRPr="00A3168A">
        <w:t xml:space="preserve"> republik</w:t>
      </w:r>
      <w:r w:rsidRPr="00A3168A">
        <w:t>y</w:t>
      </w:r>
      <w:r w:rsidR="008D2777" w:rsidRPr="00A3168A">
        <w:t xml:space="preserve"> – účasť na Mníchovskej bezpečnostnej </w:t>
      </w:r>
      <w:r w:rsidR="00137F53" w:rsidRPr="00A3168A">
        <w:t>konferencii</w:t>
      </w:r>
      <w:r w:rsidRPr="00A3168A">
        <w:t>; do</w:t>
      </w:r>
      <w:r w:rsidR="008D2777" w:rsidRPr="00A3168A">
        <w:t xml:space="preserve"> </w:t>
      </w:r>
      <w:r w:rsidR="00E65185" w:rsidRPr="00A3168A">
        <w:t>Česk</w:t>
      </w:r>
      <w:r w:rsidRPr="00A3168A">
        <w:t>ej</w:t>
      </w:r>
      <w:r w:rsidR="00E65185" w:rsidRPr="00A3168A">
        <w:t xml:space="preserve"> republik</w:t>
      </w:r>
      <w:r w:rsidRPr="00A3168A">
        <w:t>y</w:t>
      </w:r>
      <w:r w:rsidR="00E65185" w:rsidRPr="00A3168A">
        <w:t xml:space="preserve"> </w:t>
      </w:r>
      <w:r w:rsidRPr="00A3168A">
        <w:t>–</w:t>
      </w:r>
      <w:r w:rsidR="00E65185" w:rsidRPr="00A3168A">
        <w:t xml:space="preserve"> s</w:t>
      </w:r>
      <w:r w:rsidRPr="00A3168A">
        <w:t>lávnostné zhromaždenie Ústavného</w:t>
      </w:r>
      <w:r w:rsidR="00E65185" w:rsidRPr="00A3168A">
        <w:t xml:space="preserve"> súd</w:t>
      </w:r>
      <w:r w:rsidRPr="00A3168A">
        <w:t>u Českej republiky</w:t>
      </w:r>
      <w:r w:rsidR="00E65185" w:rsidRPr="00A3168A">
        <w:t xml:space="preserve">, </w:t>
      </w:r>
      <w:r w:rsidRPr="00A3168A">
        <w:t xml:space="preserve">do </w:t>
      </w:r>
      <w:r w:rsidR="008D2777" w:rsidRPr="00A3168A">
        <w:t>Rakúsk</w:t>
      </w:r>
      <w:r w:rsidRPr="00A3168A">
        <w:t>ej republiky</w:t>
      </w:r>
      <w:r w:rsidR="008D2777" w:rsidRPr="00A3168A">
        <w:t xml:space="preserve"> –</w:t>
      </w:r>
      <w:r w:rsidRPr="00A3168A">
        <w:t xml:space="preserve"> účasť na Austrian World Summit; </w:t>
      </w:r>
      <w:r w:rsidR="004447CF" w:rsidRPr="00A3168A">
        <w:t xml:space="preserve">oficiálna návšteva prezidentky Slovenskej republiky </w:t>
      </w:r>
      <w:r w:rsidRPr="00A3168A">
        <w:t>do</w:t>
      </w:r>
      <w:r w:rsidR="008D2777" w:rsidRPr="00A3168A">
        <w:t xml:space="preserve"> Vatikán</w:t>
      </w:r>
      <w:r w:rsidRPr="00A3168A">
        <w:t>u</w:t>
      </w:r>
      <w:r w:rsidR="004447CF" w:rsidRPr="00A3168A">
        <w:t>.</w:t>
      </w:r>
    </w:p>
    <w:p w14:paraId="7128C209" w14:textId="77777777" w:rsidR="004A042D" w:rsidRPr="00A3168A" w:rsidRDefault="004A042D" w:rsidP="003A10C1">
      <w:pPr>
        <w:tabs>
          <w:tab w:val="center" w:pos="0"/>
        </w:tabs>
        <w:jc w:val="both"/>
      </w:pPr>
    </w:p>
    <w:p w14:paraId="09EA77CE" w14:textId="7CDDD394" w:rsidR="00B245AE" w:rsidRDefault="00DB66EC" w:rsidP="00205A80">
      <w:pPr>
        <w:ind w:firstLine="708"/>
        <w:jc w:val="both"/>
      </w:pPr>
      <w:r w:rsidRPr="00A3168A">
        <w:t>Medzi významné tuzemské pracovné cesty</w:t>
      </w:r>
      <w:r w:rsidR="003A10C1" w:rsidRPr="00A3168A">
        <w:t xml:space="preserve"> hlavy štátu</w:t>
      </w:r>
      <w:r w:rsidRPr="00A3168A">
        <w:t xml:space="preserve"> </w:t>
      </w:r>
      <w:r w:rsidR="00562C9C" w:rsidRPr="00A3168A">
        <w:t>možno zaradiť</w:t>
      </w:r>
      <w:r w:rsidR="003A10C1" w:rsidRPr="00A3168A">
        <w:t xml:space="preserve"> návštevy miest </w:t>
      </w:r>
      <w:r w:rsidR="00D0168D">
        <w:t xml:space="preserve">            </w:t>
      </w:r>
      <w:r w:rsidR="003A10C1" w:rsidRPr="00A3168A">
        <w:t>a obcí</w:t>
      </w:r>
      <w:r w:rsidRPr="00A3168A">
        <w:t xml:space="preserve"> </w:t>
      </w:r>
      <w:r w:rsidR="00B245AE" w:rsidRPr="00A3168A">
        <w:t>Trenčín, Lednické Rovne, Ostrý Grúň, Kľak, Košice, Rožňava, Betliar, Borský Mikuláš, Veľký Krtíš, Ivanka pri Dunaji,</w:t>
      </w:r>
      <w:r w:rsidR="00135D6E" w:rsidRPr="00A3168A">
        <w:t xml:space="preserve"> Liptovský Mikuláš,</w:t>
      </w:r>
      <w:r w:rsidR="00B245AE" w:rsidRPr="00A3168A">
        <w:t xml:space="preserve"> Trnava, Hlohovec, Banka, Slepčany, Žiar </w:t>
      </w:r>
      <w:r w:rsidR="008B5ED6" w:rsidRPr="00A3168A">
        <w:br/>
      </w:r>
      <w:r w:rsidR="00B245AE" w:rsidRPr="00A3168A">
        <w:t>nad Hronom, Svinica, Senné, Pavlovce nad Uhom, Vihorlat, Kladzany, Lozorno, Piešťany, Dolná Krupá, Kriváň,</w:t>
      </w:r>
      <w:r w:rsidR="00E54E24" w:rsidRPr="00A3168A">
        <w:t xml:space="preserve"> </w:t>
      </w:r>
      <w:r w:rsidR="00B245AE" w:rsidRPr="00A3168A">
        <w:t>Zvolen, Banská Bystrica, Predajná, Valaská, Čierny Balog, Martin.</w:t>
      </w:r>
    </w:p>
    <w:p w14:paraId="289714F8" w14:textId="77777777" w:rsidR="004A042D" w:rsidRPr="00A3168A" w:rsidRDefault="004A042D" w:rsidP="00205A80">
      <w:pPr>
        <w:ind w:firstLine="708"/>
        <w:jc w:val="both"/>
      </w:pPr>
    </w:p>
    <w:p w14:paraId="4A528DC1" w14:textId="7DEDBAA2" w:rsidR="004447CF" w:rsidRPr="00A3168A" w:rsidRDefault="003A10C1" w:rsidP="003A10C1">
      <w:pPr>
        <w:tabs>
          <w:tab w:val="center" w:pos="0"/>
        </w:tabs>
        <w:jc w:val="both"/>
      </w:pPr>
      <w:r w:rsidRPr="00A3168A">
        <w:tab/>
      </w:r>
      <w:r w:rsidR="00467E43" w:rsidRPr="00A3168A">
        <w:t>Prezident</w:t>
      </w:r>
      <w:r w:rsidRPr="00A3168A">
        <w:t>ka</w:t>
      </w:r>
      <w:r w:rsidR="00467E43" w:rsidRPr="00A3168A">
        <w:t xml:space="preserve"> republiky v roku 2020</w:t>
      </w:r>
      <w:r w:rsidRPr="00A3168A">
        <w:t xml:space="preserve"> v súčinnosti s Kanceláriou prezidenta plnila </w:t>
      </w:r>
      <w:r w:rsidR="00D0168D">
        <w:t xml:space="preserve">                      </w:t>
      </w:r>
      <w:r w:rsidRPr="00A3168A">
        <w:t>aj legislatívne úlohy. Hlava štátu p</w:t>
      </w:r>
      <w:r w:rsidR="00BE2C7A" w:rsidRPr="00A3168A">
        <w:t>odpísal</w:t>
      </w:r>
      <w:r w:rsidRPr="00A3168A">
        <w:t xml:space="preserve">a celkovo </w:t>
      </w:r>
      <w:r w:rsidR="00407AC7" w:rsidRPr="00A3168A">
        <w:t>1</w:t>
      </w:r>
      <w:r w:rsidR="00096FB3" w:rsidRPr="00A3168A">
        <w:t>21</w:t>
      </w:r>
      <w:r w:rsidR="00921D9D" w:rsidRPr="00A3168A">
        <w:t xml:space="preserve"> zákonov</w:t>
      </w:r>
      <w:r w:rsidRPr="00A3168A">
        <w:t xml:space="preserve">, </w:t>
      </w:r>
      <w:r w:rsidR="006B271D" w:rsidRPr="00A3168A">
        <w:t>n</w:t>
      </w:r>
      <w:r w:rsidR="00921D9D" w:rsidRPr="00A3168A">
        <w:t>epodpísal</w:t>
      </w:r>
      <w:r w:rsidRPr="00A3168A">
        <w:t xml:space="preserve">a </w:t>
      </w:r>
      <w:r w:rsidR="00616547" w:rsidRPr="00A3168A">
        <w:t>3 zákony</w:t>
      </w:r>
      <w:r w:rsidR="001148F8" w:rsidRPr="00A3168A">
        <w:t xml:space="preserve"> </w:t>
      </w:r>
      <w:r w:rsidRPr="00A3168A">
        <w:t xml:space="preserve">a 5 zákonov </w:t>
      </w:r>
      <w:r w:rsidR="00921D9D" w:rsidRPr="00A3168A">
        <w:t>vrátil</w:t>
      </w:r>
      <w:r w:rsidRPr="00A3168A">
        <w:t>a do Národnej rady Slovenskej republiky</w:t>
      </w:r>
      <w:r w:rsidR="002A384C" w:rsidRPr="00A3168A">
        <w:t xml:space="preserve"> na opätovné prerokovanie</w:t>
      </w:r>
      <w:r w:rsidRPr="00A3168A">
        <w:t>.</w:t>
      </w:r>
    </w:p>
    <w:p w14:paraId="19669FFA" w14:textId="22884837" w:rsidR="007F5C1D" w:rsidRPr="00A3168A" w:rsidRDefault="003A10C1" w:rsidP="003A10C1">
      <w:pPr>
        <w:tabs>
          <w:tab w:val="center" w:pos="0"/>
        </w:tabs>
        <w:jc w:val="both"/>
      </w:pPr>
      <w:r w:rsidRPr="00A3168A">
        <w:tab/>
        <w:t xml:space="preserve">Do Kancelárie prezidenta </w:t>
      </w:r>
      <w:r w:rsidR="00616547" w:rsidRPr="00A3168A">
        <w:t>bolo</w:t>
      </w:r>
      <w:r w:rsidRPr="00A3168A">
        <w:t xml:space="preserve"> doručených</w:t>
      </w:r>
      <w:r w:rsidR="00616547" w:rsidRPr="00A3168A">
        <w:t xml:space="preserve"> 1 442</w:t>
      </w:r>
      <w:r w:rsidR="0010348C" w:rsidRPr="00A3168A">
        <w:t xml:space="preserve"> žiadostí o</w:t>
      </w:r>
      <w:r w:rsidR="00616547" w:rsidRPr="00A3168A">
        <w:t> </w:t>
      </w:r>
      <w:r w:rsidR="004C7411" w:rsidRPr="00A3168A">
        <w:t>milosť</w:t>
      </w:r>
      <w:r w:rsidRPr="00A3168A">
        <w:t>, pričom v roku 2020 bolo hlavou štátu</w:t>
      </w:r>
      <w:r w:rsidR="00137F53" w:rsidRPr="00A3168A">
        <w:t xml:space="preserve"> udelených 6 milostí, neudelených </w:t>
      </w:r>
      <w:r w:rsidR="004447CF" w:rsidRPr="00A3168A">
        <w:t xml:space="preserve">bolo </w:t>
      </w:r>
      <w:r w:rsidR="00137F53" w:rsidRPr="00A3168A">
        <w:t>518</w:t>
      </w:r>
      <w:r w:rsidR="004447CF" w:rsidRPr="00A3168A">
        <w:t xml:space="preserve"> milostí</w:t>
      </w:r>
      <w:r w:rsidR="00137F53" w:rsidRPr="00A3168A">
        <w:t>.</w:t>
      </w:r>
    </w:p>
    <w:p w14:paraId="1F677F84" w14:textId="2F733134" w:rsidR="004447CF" w:rsidRPr="00A3168A" w:rsidRDefault="004447CF" w:rsidP="003A10C1">
      <w:pPr>
        <w:tabs>
          <w:tab w:val="center" w:pos="0"/>
        </w:tabs>
        <w:jc w:val="both"/>
      </w:pPr>
      <w:r w:rsidRPr="00A3168A">
        <w:tab/>
        <w:t xml:space="preserve">Kancelária prezidenta v roku 2020 </w:t>
      </w:r>
      <w:r w:rsidR="004C7411" w:rsidRPr="00A3168A">
        <w:t>prijala</w:t>
      </w:r>
      <w:r w:rsidRPr="00A3168A">
        <w:t xml:space="preserve"> celkovo 15 777 podaní od fyzických </w:t>
      </w:r>
      <w:r w:rsidR="00D0168D">
        <w:t xml:space="preserve">                       </w:t>
      </w:r>
      <w:r w:rsidRPr="00A3168A">
        <w:t xml:space="preserve">či právnických osôb a štátnych inštitúcií (oproti roku 2019 ide o nárast o viac ako 5 000 podaní).  </w:t>
      </w:r>
    </w:p>
    <w:p w14:paraId="111402E1" w14:textId="77777777" w:rsidR="00F32739" w:rsidRPr="00A3168A" w:rsidRDefault="00F32739" w:rsidP="00DD0AD0">
      <w:pPr>
        <w:pStyle w:val="Odsekzoznamu"/>
        <w:tabs>
          <w:tab w:val="center" w:pos="4536"/>
        </w:tabs>
        <w:ind w:hanging="720"/>
        <w:jc w:val="both"/>
      </w:pPr>
    </w:p>
    <w:p w14:paraId="47BF2909" w14:textId="458B4CE1" w:rsidR="004F302C" w:rsidRPr="00A3168A" w:rsidRDefault="00776011" w:rsidP="00776011">
      <w:pPr>
        <w:pStyle w:val="Nadpis3"/>
        <w:numPr>
          <w:ilvl w:val="2"/>
          <w:numId w:val="28"/>
        </w:numPr>
        <w:rPr>
          <w:rFonts w:ascii="Times New Roman" w:hAnsi="Times New Roman" w:cs="Times New Roman"/>
        </w:rPr>
      </w:pPr>
      <w:r w:rsidRPr="00A3168A">
        <w:rPr>
          <w:rFonts w:ascii="Times New Roman" w:hAnsi="Times New Roman" w:cs="Times New Roman"/>
        </w:rPr>
        <w:t xml:space="preserve"> </w:t>
      </w:r>
      <w:bookmarkStart w:id="3" w:name="_Toc71783113"/>
      <w:r w:rsidR="00245C18" w:rsidRPr="00A3168A">
        <w:rPr>
          <w:rFonts w:ascii="Times New Roman" w:hAnsi="Times New Roman" w:cs="Times New Roman"/>
        </w:rPr>
        <w:t>Výsledok rozpočtového hospodárenia kapitoly</w:t>
      </w:r>
      <w:bookmarkEnd w:id="3"/>
      <w:r w:rsidR="004F302C" w:rsidRPr="00A3168A">
        <w:rPr>
          <w:rFonts w:ascii="Times New Roman" w:hAnsi="Times New Roman" w:cs="Times New Roman"/>
        </w:rPr>
        <w:tab/>
      </w:r>
    </w:p>
    <w:p w14:paraId="0B961A0F" w14:textId="77777777" w:rsidR="004F302C" w:rsidRPr="00A3168A" w:rsidRDefault="004F302C" w:rsidP="004F302C">
      <w:pPr>
        <w:tabs>
          <w:tab w:val="center" w:pos="0"/>
        </w:tabs>
        <w:jc w:val="both"/>
      </w:pPr>
    </w:p>
    <w:p w14:paraId="1872787C" w14:textId="399F6CDD" w:rsidR="00183A89" w:rsidRPr="00A3168A" w:rsidRDefault="007A0CEF" w:rsidP="007A0CEF">
      <w:pPr>
        <w:tabs>
          <w:tab w:val="center" w:pos="0"/>
        </w:tabs>
        <w:jc w:val="both"/>
        <w:rPr>
          <w:b/>
        </w:rPr>
      </w:pPr>
      <w:r w:rsidRPr="00A3168A">
        <w:rPr>
          <w:b/>
        </w:rPr>
        <w:t xml:space="preserve">         </w:t>
      </w:r>
      <w:r w:rsidR="00183A89" w:rsidRPr="00874698">
        <w:t>Ka</w:t>
      </w:r>
      <w:r w:rsidR="00137F53" w:rsidRPr="00874698">
        <w:t xml:space="preserve">ncelária prezidenta </w:t>
      </w:r>
      <w:r w:rsidR="00183A89" w:rsidRPr="00874698">
        <w:t xml:space="preserve">dodržala všetky záväzné ukazovatele stanovené zákonom č. </w:t>
      </w:r>
      <w:r w:rsidR="00467E43" w:rsidRPr="00874698">
        <w:t>468/2019</w:t>
      </w:r>
      <w:r w:rsidR="00183A89" w:rsidRPr="00874698">
        <w:t xml:space="preserve"> Z. z. o</w:t>
      </w:r>
      <w:r w:rsidR="00873D54" w:rsidRPr="00874698">
        <w:t> </w:t>
      </w:r>
      <w:r w:rsidR="00183A89" w:rsidRPr="00874698">
        <w:t>štátnom rozpočte na r</w:t>
      </w:r>
      <w:r w:rsidR="00467E43" w:rsidRPr="00874698">
        <w:t>ok 2020</w:t>
      </w:r>
      <w:r w:rsidR="00183A89" w:rsidRPr="00874698">
        <w:t>, vrátane vykonaných rozpočtových opatrení</w:t>
      </w:r>
      <w:r w:rsidR="00183A89" w:rsidRPr="00A3168A">
        <w:rPr>
          <w:b/>
        </w:rPr>
        <w:t>.</w:t>
      </w:r>
    </w:p>
    <w:p w14:paraId="7A84E803" w14:textId="77777777" w:rsidR="00007925" w:rsidRPr="00A3168A" w:rsidRDefault="00007925" w:rsidP="007A0CEF">
      <w:pPr>
        <w:tabs>
          <w:tab w:val="center" w:pos="0"/>
        </w:tabs>
        <w:jc w:val="both"/>
      </w:pPr>
    </w:p>
    <w:p w14:paraId="2283A8EC" w14:textId="69C61C07" w:rsidR="00137F53" w:rsidRDefault="00921D9D" w:rsidP="00007925">
      <w:pPr>
        <w:tabs>
          <w:tab w:val="center" w:pos="0"/>
          <w:tab w:val="left" w:pos="567"/>
        </w:tabs>
        <w:jc w:val="both"/>
      </w:pPr>
      <w:r w:rsidRPr="00A3168A">
        <w:tab/>
      </w:r>
      <w:r w:rsidR="00137F53" w:rsidRPr="00A3168A">
        <w:t>Kapitola Kancelária prezidenta pri hospodárení s finančnými prostriedkami postupovala v súlade so zásadami hospodárnosti, efektívnosti, účelnosti a účinnosti pri dodržaní legislatívnych predpisov, najmä zákona č. 523/2004 Z.</w:t>
      </w:r>
      <w:r w:rsidR="004C7411" w:rsidRPr="00A3168A">
        <w:t xml:space="preserve"> </w:t>
      </w:r>
      <w:r w:rsidR="00137F53" w:rsidRPr="00A3168A">
        <w:t>z. o rozpočtových pravidlách verejnej správy, zákona               č. 357/2015 Z.</w:t>
      </w:r>
      <w:r w:rsidR="004C7411" w:rsidRPr="00A3168A">
        <w:t xml:space="preserve"> </w:t>
      </w:r>
      <w:r w:rsidR="00137F53" w:rsidRPr="00A3168A">
        <w:t>z. o finančnej kontrole a audite a o zmene niektorých zákonov, uznesení vlády Slovenskej republiky, metodických pokynov a usmernení</w:t>
      </w:r>
      <w:r w:rsidR="00526F8D">
        <w:t xml:space="preserve"> ministerstva financií</w:t>
      </w:r>
      <w:r w:rsidR="00137F53" w:rsidRPr="00A3168A">
        <w:t xml:space="preserve">. </w:t>
      </w:r>
    </w:p>
    <w:p w14:paraId="702E270F" w14:textId="77777777" w:rsidR="004A042D" w:rsidRPr="00A3168A" w:rsidRDefault="004A042D" w:rsidP="00007925">
      <w:pPr>
        <w:tabs>
          <w:tab w:val="center" w:pos="0"/>
          <w:tab w:val="left" w:pos="567"/>
        </w:tabs>
        <w:jc w:val="both"/>
      </w:pPr>
    </w:p>
    <w:p w14:paraId="57C5B96B" w14:textId="299B6798" w:rsidR="00F32739" w:rsidRPr="00A3168A" w:rsidRDefault="00137F53" w:rsidP="00007925">
      <w:pPr>
        <w:tabs>
          <w:tab w:val="center" w:pos="0"/>
          <w:tab w:val="left" w:pos="567"/>
        </w:tabs>
        <w:jc w:val="both"/>
      </w:pPr>
      <w:r w:rsidRPr="00A3168A">
        <w:tab/>
      </w:r>
      <w:r w:rsidR="00921D9D" w:rsidRPr="00A3168A">
        <w:t>Kapitole Kancelári</w:t>
      </w:r>
      <w:r w:rsidR="00AA02B8" w:rsidRPr="00A3168A">
        <w:t>a</w:t>
      </w:r>
      <w:r w:rsidR="00921D9D" w:rsidRPr="00A3168A">
        <w:t xml:space="preserve"> prezidenta</w:t>
      </w:r>
      <w:r w:rsidR="00467E43" w:rsidRPr="00A3168A">
        <w:t xml:space="preserve"> na rok 2020</w:t>
      </w:r>
      <w:r w:rsidR="00AA02B8" w:rsidRPr="00A3168A">
        <w:t xml:space="preserve"> boli rozpočtované </w:t>
      </w:r>
      <w:r w:rsidR="00AA02B8" w:rsidRPr="00A3168A">
        <w:rPr>
          <w:b/>
        </w:rPr>
        <w:t>príjmy</w:t>
      </w:r>
      <w:r w:rsidR="00E369AF" w:rsidRPr="00A3168A">
        <w:t xml:space="preserve"> vo výške 15</w:t>
      </w:r>
      <w:r w:rsidR="00AA02B8" w:rsidRPr="00A3168A">
        <w:t> 000 eur,</w:t>
      </w:r>
      <w:r w:rsidR="00E369AF" w:rsidRPr="00A3168A">
        <w:t xml:space="preserve"> z toho limit podľa §</w:t>
      </w:r>
      <w:r w:rsidR="004C7411" w:rsidRPr="00A3168A">
        <w:t xml:space="preserve"> </w:t>
      </w:r>
      <w:r w:rsidR="00E369AF" w:rsidRPr="00A3168A">
        <w:t>17 ods.</w:t>
      </w:r>
      <w:r w:rsidR="004C7411" w:rsidRPr="00A3168A">
        <w:t xml:space="preserve"> </w:t>
      </w:r>
      <w:r w:rsidR="00E369AF" w:rsidRPr="00A3168A">
        <w:t xml:space="preserve">4 zákona č. 523/2004 Z. z. o rozpočtových pravidlách verejnej správy </w:t>
      </w:r>
      <w:r w:rsidR="004C7411" w:rsidRPr="00A3168A">
        <w:t xml:space="preserve">v znení neskorších predpisov </w:t>
      </w:r>
      <w:r w:rsidR="00E369AF" w:rsidRPr="00A3168A">
        <w:t>(ďalej len zákon č.</w:t>
      </w:r>
      <w:r w:rsidR="004C7411" w:rsidRPr="00A3168A">
        <w:t xml:space="preserve"> </w:t>
      </w:r>
      <w:r w:rsidR="00E369AF" w:rsidRPr="00A3168A">
        <w:t>523/2004 Z.</w:t>
      </w:r>
      <w:r w:rsidR="004C7411" w:rsidRPr="00A3168A">
        <w:t xml:space="preserve"> </w:t>
      </w:r>
      <w:r w:rsidR="00E369AF" w:rsidRPr="00A3168A">
        <w:t>z.) vo výške 5 000 eur. I</w:t>
      </w:r>
      <w:r w:rsidR="00467E43" w:rsidRPr="00A3168A">
        <w:t>ch skutočné plnenie k 31.12.2020</w:t>
      </w:r>
      <w:r w:rsidR="00AA02B8" w:rsidRPr="00A3168A">
        <w:t xml:space="preserve"> bolo v objeme </w:t>
      </w:r>
      <w:r w:rsidR="0015749A" w:rsidRPr="00A3168A">
        <w:rPr>
          <w:b/>
        </w:rPr>
        <w:t>13 965,33</w:t>
      </w:r>
      <w:r w:rsidR="00AA02B8" w:rsidRPr="00A3168A">
        <w:rPr>
          <w:b/>
        </w:rPr>
        <w:t xml:space="preserve"> eur</w:t>
      </w:r>
      <w:r w:rsidR="00AA02B8" w:rsidRPr="00A3168A">
        <w:t>, t.</w:t>
      </w:r>
      <w:r w:rsidR="00EC0D16" w:rsidRPr="00A3168A">
        <w:t xml:space="preserve"> </w:t>
      </w:r>
      <w:r w:rsidR="00AA02B8" w:rsidRPr="00A3168A">
        <w:t xml:space="preserve">j. </w:t>
      </w:r>
      <w:r w:rsidR="0015749A" w:rsidRPr="00A3168A">
        <w:t>139,65</w:t>
      </w:r>
      <w:r w:rsidR="00066BEB" w:rsidRPr="00A3168A">
        <w:t xml:space="preserve"> </w:t>
      </w:r>
      <w:r w:rsidR="00007925" w:rsidRPr="00A3168A">
        <w:t>% k schválenému i upravenému rozpočtu</w:t>
      </w:r>
      <w:r w:rsidR="00096FB3" w:rsidRPr="00A3168A">
        <w:t xml:space="preserve"> bez prostriedkov podľa § 17 ods. 4</w:t>
      </w:r>
      <w:r w:rsidR="00F41555" w:rsidRPr="00A3168A">
        <w:t xml:space="preserve"> zákona č. 523/2004 Z.</w:t>
      </w:r>
      <w:r w:rsidR="004C7411" w:rsidRPr="00A3168A">
        <w:t xml:space="preserve"> </w:t>
      </w:r>
      <w:r w:rsidR="00F41555" w:rsidRPr="00A3168A">
        <w:t>z.</w:t>
      </w:r>
      <w:r w:rsidR="00CC560A" w:rsidRPr="00A3168A">
        <w:t>, vrátane</w:t>
      </w:r>
      <w:r w:rsidR="009D377E" w:rsidRPr="00A3168A">
        <w:t xml:space="preserve"> prostriedkov podľa</w:t>
      </w:r>
      <w:r w:rsidR="00CC560A" w:rsidRPr="00A3168A">
        <w:t xml:space="preserve"> § 17 ods. 4 </w:t>
      </w:r>
      <w:r w:rsidR="00096FB3" w:rsidRPr="00A3168A">
        <w:t xml:space="preserve">zákona č. 523/2004 </w:t>
      </w:r>
      <w:r w:rsidR="00E369AF" w:rsidRPr="00A3168A">
        <w:t>Z.</w:t>
      </w:r>
      <w:r w:rsidR="004C7411" w:rsidRPr="00A3168A">
        <w:t xml:space="preserve"> </w:t>
      </w:r>
      <w:r w:rsidR="00E369AF" w:rsidRPr="00A3168A">
        <w:t xml:space="preserve">z. </w:t>
      </w:r>
      <w:r w:rsidR="00CC560A" w:rsidRPr="00A3168A">
        <w:t>bolo percentuálne plnenie príjmov k 31.12.2020</w:t>
      </w:r>
      <w:r w:rsidR="009D377E" w:rsidRPr="00A3168A">
        <w:t xml:space="preserve"> na</w:t>
      </w:r>
      <w:r w:rsidR="00CC560A" w:rsidRPr="00A3168A">
        <w:t xml:space="preserve"> </w:t>
      </w:r>
      <w:r w:rsidR="009D377E" w:rsidRPr="00A3168A">
        <w:t>93,10 %</w:t>
      </w:r>
      <w:r w:rsidR="00007925" w:rsidRPr="00A3168A">
        <w:t>.</w:t>
      </w:r>
    </w:p>
    <w:p w14:paraId="4A07420C" w14:textId="77777777" w:rsidR="00205A80" w:rsidRPr="00A3168A" w:rsidRDefault="00205A80" w:rsidP="00007925">
      <w:pPr>
        <w:tabs>
          <w:tab w:val="center" w:pos="0"/>
          <w:tab w:val="left" w:pos="567"/>
        </w:tabs>
        <w:jc w:val="both"/>
      </w:pPr>
    </w:p>
    <w:p w14:paraId="7284E687" w14:textId="07B8A212" w:rsidR="00205A80" w:rsidRDefault="004B6C1E" w:rsidP="00921D9D">
      <w:pPr>
        <w:tabs>
          <w:tab w:val="center" w:pos="0"/>
          <w:tab w:val="left" w:pos="567"/>
        </w:tabs>
        <w:jc w:val="both"/>
      </w:pPr>
      <w:r w:rsidRPr="00A3168A">
        <w:tab/>
        <w:t>Celk</w:t>
      </w:r>
      <w:r w:rsidR="0015749A" w:rsidRPr="00A3168A">
        <w:t>ový rozpočet výdavkov na rok 2020</w:t>
      </w:r>
      <w:r w:rsidRPr="00A3168A">
        <w:t xml:space="preserve"> bol</w:t>
      </w:r>
      <w:r w:rsidR="00134695">
        <w:t xml:space="preserve"> Kancelárii prezidenta </w:t>
      </w:r>
      <w:r w:rsidR="00F27265" w:rsidRPr="00A3168A">
        <w:t>schválený</w:t>
      </w:r>
      <w:r w:rsidRPr="00A3168A">
        <w:t xml:space="preserve"> v objeme </w:t>
      </w:r>
      <w:r w:rsidR="009D377E" w:rsidRPr="00A3168A">
        <w:t xml:space="preserve">5 045 711 eur bez prostriedkov podľa § 17 ods. 4 zákona </w:t>
      </w:r>
      <w:r w:rsidR="007B2ED8" w:rsidRPr="00A3168A">
        <w:t xml:space="preserve">č. </w:t>
      </w:r>
      <w:r w:rsidR="009D377E" w:rsidRPr="00A3168A">
        <w:t>523/2004</w:t>
      </w:r>
      <w:r w:rsidR="00B14878" w:rsidRPr="00A3168A">
        <w:t xml:space="preserve"> </w:t>
      </w:r>
      <w:r w:rsidR="000B5F8E">
        <w:t xml:space="preserve">Z. z. </w:t>
      </w:r>
      <w:r w:rsidR="00B14878" w:rsidRPr="00A3168A">
        <w:t>vo výške 5 000 eur</w:t>
      </w:r>
      <w:r w:rsidR="009D377E" w:rsidRPr="00A3168A">
        <w:t>, vrátane prostriedkov  podľa  § 17 ods. 4 zákona č. 523/2004</w:t>
      </w:r>
      <w:r w:rsidR="00D3346C" w:rsidRPr="00A3168A">
        <w:t xml:space="preserve"> Z.</w:t>
      </w:r>
      <w:r w:rsidR="004C7411" w:rsidRPr="00A3168A">
        <w:t xml:space="preserve"> </w:t>
      </w:r>
      <w:r w:rsidR="00D3346C" w:rsidRPr="00A3168A">
        <w:t>z.</w:t>
      </w:r>
      <w:r w:rsidR="00B14878" w:rsidRPr="00A3168A">
        <w:t xml:space="preserve"> vo výške 5 000 eur</w:t>
      </w:r>
      <w:r w:rsidR="009D377E" w:rsidRPr="00A3168A">
        <w:t xml:space="preserve"> </w:t>
      </w:r>
      <w:r w:rsidR="00F27265" w:rsidRPr="00A3168A">
        <w:t xml:space="preserve">bol </w:t>
      </w:r>
      <w:r w:rsidR="00E22D7B" w:rsidRPr="00A3168A">
        <w:t>s</w:t>
      </w:r>
      <w:r w:rsidR="00F27265" w:rsidRPr="00A3168A">
        <w:t>chválený</w:t>
      </w:r>
      <w:r w:rsidR="009D377E" w:rsidRPr="00A3168A">
        <w:t xml:space="preserve"> </w:t>
      </w:r>
      <w:r w:rsidR="007749C4" w:rsidRPr="00A3168A">
        <w:t xml:space="preserve">               </w:t>
      </w:r>
      <w:r w:rsidR="009D377E" w:rsidRPr="00A3168A">
        <w:t xml:space="preserve">vo výške </w:t>
      </w:r>
      <w:r w:rsidR="008611E9" w:rsidRPr="00A3168A">
        <w:t>5 050 711</w:t>
      </w:r>
      <w:r w:rsidRPr="00A3168A">
        <w:t xml:space="preserve"> eur</w:t>
      </w:r>
      <w:r w:rsidR="007B2ED8" w:rsidRPr="00A3168A">
        <w:t>. Spolu s</w:t>
      </w:r>
      <w:r w:rsidR="00E33C3D" w:rsidRPr="00A3168A">
        <w:t> </w:t>
      </w:r>
      <w:r w:rsidR="00E312E0" w:rsidRPr="00A3168A">
        <w:t>vykonanými</w:t>
      </w:r>
      <w:r w:rsidR="00E33C3D" w:rsidRPr="00A3168A">
        <w:t xml:space="preserve"> </w:t>
      </w:r>
      <w:r w:rsidRPr="00A3168A">
        <w:t>rozpočtovými opatreniami bol v priebehu roka upravený na celkovú sumu</w:t>
      </w:r>
      <w:r w:rsidR="007B2ED8" w:rsidRPr="00A3168A">
        <w:t xml:space="preserve"> 5 753 236,85 bez prostrie</w:t>
      </w:r>
      <w:r w:rsidR="004C7411" w:rsidRPr="00A3168A">
        <w:t>dkov podľa § 17 ods.4 zákona č. </w:t>
      </w:r>
      <w:r w:rsidR="007B2ED8" w:rsidRPr="00A3168A">
        <w:t>523/2004</w:t>
      </w:r>
      <w:r w:rsidR="004C7411" w:rsidRPr="00A3168A">
        <w:t> </w:t>
      </w:r>
      <w:r w:rsidR="00D3346C" w:rsidRPr="00A3168A">
        <w:t>Z.</w:t>
      </w:r>
      <w:r w:rsidR="004C7411" w:rsidRPr="00A3168A">
        <w:t> </w:t>
      </w:r>
      <w:r w:rsidR="00D3346C" w:rsidRPr="00A3168A">
        <w:t>z.</w:t>
      </w:r>
      <w:r w:rsidR="007B2ED8" w:rsidRPr="00A3168A">
        <w:t xml:space="preserve"> a vrátane prostriedkov podľa § 17 ods. 4 zákona č. 523/2004</w:t>
      </w:r>
      <w:r w:rsidR="00D3346C" w:rsidRPr="00A3168A">
        <w:t xml:space="preserve"> Z.</w:t>
      </w:r>
      <w:r w:rsidR="004C7411" w:rsidRPr="00A3168A">
        <w:t xml:space="preserve"> </w:t>
      </w:r>
      <w:r w:rsidR="00D3346C" w:rsidRPr="00A3168A">
        <w:t>z.</w:t>
      </w:r>
      <w:r w:rsidR="007B2ED8" w:rsidRPr="00A3168A">
        <w:t xml:space="preserve"> bol upravený na sumu </w:t>
      </w:r>
      <w:r w:rsidR="008611E9" w:rsidRPr="00A3168A">
        <w:t>5 758 236,85 e</w:t>
      </w:r>
      <w:r w:rsidRPr="00A3168A">
        <w:t xml:space="preserve">ur. Skutočné čerpanie výdavkov dosiahlo sumu </w:t>
      </w:r>
      <w:r w:rsidR="00044678" w:rsidRPr="00A3168A">
        <w:t>5 753 22</w:t>
      </w:r>
      <w:r w:rsidR="008611E9" w:rsidRPr="00A3168A">
        <w:t>6,20</w:t>
      </w:r>
      <w:r w:rsidRPr="00A3168A">
        <w:t xml:space="preserve"> eur, </w:t>
      </w:r>
      <w:r w:rsidR="00D0168D">
        <w:t xml:space="preserve">                  </w:t>
      </w:r>
      <w:r w:rsidRPr="00A3168A">
        <w:lastRenderedPageBreak/>
        <w:t>t.</w:t>
      </w:r>
      <w:r w:rsidR="00EC0D16" w:rsidRPr="00A3168A">
        <w:t xml:space="preserve"> </w:t>
      </w:r>
      <w:r w:rsidRPr="00A3168A">
        <w:t xml:space="preserve">j. </w:t>
      </w:r>
      <w:r w:rsidR="00F27265" w:rsidRPr="00A3168A">
        <w:t>100</w:t>
      </w:r>
      <w:r w:rsidR="004C7411" w:rsidRPr="00A3168A">
        <w:t> </w:t>
      </w:r>
      <w:r w:rsidRPr="00A3168A">
        <w:t>% ročného upraveného rozpočtu</w:t>
      </w:r>
      <w:r w:rsidR="00F27265" w:rsidRPr="00A3168A">
        <w:t xml:space="preserve"> bez</w:t>
      </w:r>
      <w:r w:rsidR="00B3468C" w:rsidRPr="00A3168A">
        <w:t xml:space="preserve"> prostriedkov podľa § 17 ods. 4 zákona č. 523/2004</w:t>
      </w:r>
      <w:r w:rsidR="00D3346C" w:rsidRPr="00A3168A">
        <w:t xml:space="preserve"> Z.</w:t>
      </w:r>
      <w:r w:rsidR="004C7411" w:rsidRPr="00A3168A">
        <w:t xml:space="preserve"> </w:t>
      </w:r>
      <w:r w:rsidR="00D3346C" w:rsidRPr="00A3168A">
        <w:t>z.</w:t>
      </w:r>
      <w:r w:rsidR="00F27265" w:rsidRPr="00A3168A">
        <w:t xml:space="preserve"> a 99,91</w:t>
      </w:r>
      <w:r w:rsidR="004C7411" w:rsidRPr="00A3168A">
        <w:t xml:space="preserve"> </w:t>
      </w:r>
      <w:r w:rsidR="00F27265" w:rsidRPr="00A3168A">
        <w:t>% ročného upraveného rozpočtu spolu s prostriedk</w:t>
      </w:r>
      <w:r w:rsidR="004C7411" w:rsidRPr="00A3168A">
        <w:t>ami podľa § 17 ods. 4 zákona č. </w:t>
      </w:r>
      <w:r w:rsidR="00F27265" w:rsidRPr="00A3168A">
        <w:t>523/2004</w:t>
      </w:r>
      <w:r w:rsidR="00D3346C" w:rsidRPr="00A3168A">
        <w:t xml:space="preserve"> Z.</w:t>
      </w:r>
      <w:r w:rsidR="004C7411" w:rsidRPr="00A3168A">
        <w:t> </w:t>
      </w:r>
      <w:r w:rsidR="00D3346C" w:rsidRPr="00A3168A">
        <w:t>z.</w:t>
      </w:r>
      <w:r w:rsidR="00526F8D">
        <w:t>.</w:t>
      </w:r>
      <w:r w:rsidR="00F27265" w:rsidRPr="00A3168A">
        <w:t xml:space="preserve"> </w:t>
      </w:r>
      <w:r w:rsidR="00921D9D" w:rsidRPr="00A3168A">
        <w:tab/>
      </w:r>
    </w:p>
    <w:p w14:paraId="52C21672" w14:textId="77777777" w:rsidR="004A042D" w:rsidRPr="00A3168A" w:rsidRDefault="004A042D" w:rsidP="00921D9D">
      <w:pPr>
        <w:tabs>
          <w:tab w:val="center" w:pos="0"/>
          <w:tab w:val="left" w:pos="567"/>
        </w:tabs>
        <w:jc w:val="both"/>
      </w:pPr>
    </w:p>
    <w:p w14:paraId="2A75623D" w14:textId="5D71000A" w:rsidR="004F302C" w:rsidRPr="00A3168A" w:rsidRDefault="004F302C" w:rsidP="004B677C">
      <w:pPr>
        <w:tabs>
          <w:tab w:val="center" w:pos="0"/>
          <w:tab w:val="left" w:pos="567"/>
        </w:tabs>
        <w:jc w:val="both"/>
      </w:pPr>
      <w:r w:rsidRPr="00A3168A">
        <w:rPr>
          <w:b/>
        </w:rPr>
        <w:t xml:space="preserve">        </w:t>
      </w:r>
      <w:r w:rsidR="00F32739" w:rsidRPr="00A3168A">
        <w:tab/>
      </w:r>
      <w:r w:rsidRPr="00A3168A">
        <w:rPr>
          <w:b/>
        </w:rPr>
        <w:t>Bežné výdavky</w:t>
      </w:r>
      <w:r w:rsidRPr="00A3168A">
        <w:t xml:space="preserve"> boli čerpané vo výške </w:t>
      </w:r>
      <w:r w:rsidR="00B3468C" w:rsidRPr="00A3168A">
        <w:rPr>
          <w:b/>
        </w:rPr>
        <w:t>5 346 574,15</w:t>
      </w:r>
      <w:r w:rsidRPr="00A3168A">
        <w:rPr>
          <w:b/>
        </w:rPr>
        <w:t xml:space="preserve"> eur</w:t>
      </w:r>
      <w:r w:rsidRPr="00A3168A">
        <w:t xml:space="preserve"> t.</w:t>
      </w:r>
      <w:r w:rsidR="00EC0D16" w:rsidRPr="00A3168A">
        <w:t xml:space="preserve"> </w:t>
      </w:r>
      <w:r w:rsidRPr="00A3168A">
        <w:t xml:space="preserve">j. na </w:t>
      </w:r>
      <w:r w:rsidR="00007925" w:rsidRPr="00A3168A">
        <w:t>10</w:t>
      </w:r>
      <w:r w:rsidR="00420360" w:rsidRPr="00A3168A">
        <w:t>0</w:t>
      </w:r>
      <w:r w:rsidR="004C7411" w:rsidRPr="00A3168A">
        <w:t xml:space="preserve"> </w:t>
      </w:r>
      <w:r w:rsidRPr="00A3168A">
        <w:t>% z</w:t>
      </w:r>
      <w:r w:rsidR="00873D54" w:rsidRPr="00A3168A">
        <w:t> </w:t>
      </w:r>
      <w:r w:rsidRPr="00A3168A">
        <w:t>ročného upraveného rozpočtu. V</w:t>
      </w:r>
      <w:r w:rsidR="00873D54" w:rsidRPr="00A3168A">
        <w:t> </w:t>
      </w:r>
      <w:r w:rsidRPr="00A3168A">
        <w:t>rámci bežných výdavkov záväzný</w:t>
      </w:r>
      <w:bookmarkStart w:id="4" w:name="_GoBack"/>
      <w:bookmarkEnd w:id="4"/>
      <w:r w:rsidRPr="00A3168A">
        <w:t xml:space="preserve"> ukazovateľ na mzdy, platy, služobné príjmy a</w:t>
      </w:r>
      <w:r w:rsidR="00873D54" w:rsidRPr="00A3168A">
        <w:t> </w:t>
      </w:r>
      <w:r w:rsidRPr="00A3168A">
        <w:t xml:space="preserve">ostatné osobné vyrovnania bol čerpaný vo výške </w:t>
      </w:r>
      <w:r w:rsidR="00B3468C" w:rsidRPr="00A3168A">
        <w:rPr>
          <w:b/>
        </w:rPr>
        <w:t>2 640 663</w:t>
      </w:r>
      <w:r w:rsidRPr="00A3168A">
        <w:rPr>
          <w:b/>
        </w:rPr>
        <w:t xml:space="preserve"> eur</w:t>
      </w:r>
      <w:r w:rsidRPr="00A3168A">
        <w:t xml:space="preserve">, čiže na </w:t>
      </w:r>
      <w:r w:rsidR="003777D1" w:rsidRPr="00A3168A">
        <w:t>100</w:t>
      </w:r>
      <w:r w:rsidRPr="00A3168A">
        <w:t xml:space="preserve"> %. </w:t>
      </w:r>
    </w:p>
    <w:p w14:paraId="611520A0" w14:textId="77777777" w:rsidR="00205A80" w:rsidRPr="00A3168A" w:rsidRDefault="00205A80" w:rsidP="004B677C">
      <w:pPr>
        <w:tabs>
          <w:tab w:val="center" w:pos="0"/>
          <w:tab w:val="left" w:pos="567"/>
        </w:tabs>
        <w:jc w:val="both"/>
      </w:pPr>
    </w:p>
    <w:p w14:paraId="6E3DF246" w14:textId="039F316D" w:rsidR="00F6257E" w:rsidRPr="00A3168A" w:rsidRDefault="000B3D76" w:rsidP="00735CEE">
      <w:pPr>
        <w:tabs>
          <w:tab w:val="center" w:pos="0"/>
          <w:tab w:val="left" w:pos="567"/>
        </w:tabs>
        <w:jc w:val="both"/>
      </w:pPr>
      <w:r w:rsidRPr="00A3168A">
        <w:rPr>
          <w:b/>
        </w:rPr>
        <w:tab/>
      </w:r>
      <w:r w:rsidR="004F302C" w:rsidRPr="00A3168A">
        <w:rPr>
          <w:b/>
        </w:rPr>
        <w:t>Kapitálové výdavky</w:t>
      </w:r>
      <w:r w:rsidR="004F302C" w:rsidRPr="00A3168A">
        <w:t xml:space="preserve"> boli v</w:t>
      </w:r>
      <w:r w:rsidR="00873D54" w:rsidRPr="00A3168A">
        <w:t> </w:t>
      </w:r>
      <w:r w:rsidR="00B3468C" w:rsidRPr="00A3168A">
        <w:t>roku 2020</w:t>
      </w:r>
      <w:r w:rsidR="004F302C" w:rsidRPr="00A3168A">
        <w:t xml:space="preserve"> čerpané v</w:t>
      </w:r>
      <w:r w:rsidR="00873D54" w:rsidRPr="00A3168A">
        <w:t> </w:t>
      </w:r>
      <w:r w:rsidR="004F302C" w:rsidRPr="00A3168A">
        <w:t xml:space="preserve">sume </w:t>
      </w:r>
      <w:r w:rsidR="00B3468C" w:rsidRPr="00A3168A">
        <w:rPr>
          <w:b/>
        </w:rPr>
        <w:t>406 652,05</w:t>
      </w:r>
      <w:r w:rsidR="004F302C" w:rsidRPr="00A3168A">
        <w:rPr>
          <w:b/>
        </w:rPr>
        <w:t xml:space="preserve"> eur</w:t>
      </w:r>
      <w:r w:rsidR="004F302C" w:rsidRPr="00A3168A">
        <w:t>, t.</w:t>
      </w:r>
      <w:r w:rsidR="00EC0D16" w:rsidRPr="00A3168A">
        <w:t xml:space="preserve"> </w:t>
      </w:r>
      <w:r w:rsidR="004F302C" w:rsidRPr="00A3168A">
        <w:t xml:space="preserve">j. na </w:t>
      </w:r>
      <w:r w:rsidR="00B3468C" w:rsidRPr="00A3168A">
        <w:t>100</w:t>
      </w:r>
      <w:r w:rsidR="004C7411" w:rsidRPr="00A3168A">
        <w:t> </w:t>
      </w:r>
      <w:r w:rsidR="004F302C" w:rsidRPr="00A3168A">
        <w:t xml:space="preserve">% </w:t>
      </w:r>
      <w:r w:rsidR="004902E7" w:rsidRPr="00A3168A">
        <w:t>z</w:t>
      </w:r>
      <w:r w:rsidR="00873D54" w:rsidRPr="00A3168A">
        <w:t> </w:t>
      </w:r>
      <w:r w:rsidR="004F302C" w:rsidRPr="00A3168A">
        <w:t>ročného upraveného rozpočtu.</w:t>
      </w:r>
    </w:p>
    <w:p w14:paraId="71D72C80" w14:textId="77777777" w:rsidR="00205A80" w:rsidRPr="00A3168A" w:rsidRDefault="00205A80" w:rsidP="00735CEE">
      <w:pPr>
        <w:tabs>
          <w:tab w:val="center" w:pos="0"/>
          <w:tab w:val="left" w:pos="567"/>
        </w:tabs>
        <w:jc w:val="both"/>
      </w:pPr>
    </w:p>
    <w:p w14:paraId="3FD0B8B2" w14:textId="14324184" w:rsidR="00205A80" w:rsidRPr="00A3168A" w:rsidRDefault="00735CEE" w:rsidP="0021102E">
      <w:pPr>
        <w:tabs>
          <w:tab w:val="center" w:pos="0"/>
          <w:tab w:val="left" w:pos="567"/>
        </w:tabs>
        <w:jc w:val="both"/>
      </w:pPr>
      <w:r w:rsidRPr="00A3168A">
        <w:rPr>
          <w:b/>
        </w:rPr>
        <w:tab/>
      </w:r>
      <w:r w:rsidR="00832CF2" w:rsidRPr="00A3168A">
        <w:rPr>
          <w:b/>
        </w:rPr>
        <w:t>Zamestnanci:</w:t>
      </w:r>
      <w:r w:rsidR="0021102E" w:rsidRPr="00A3168A">
        <w:rPr>
          <w:b/>
        </w:rPr>
        <w:t xml:space="preserve"> </w:t>
      </w:r>
      <w:r w:rsidR="0021102E" w:rsidRPr="00A3168A">
        <w:t>p</w:t>
      </w:r>
      <w:r w:rsidR="00B3468C" w:rsidRPr="00A3168A">
        <w:t>očet zamestnancov za rok 2020</w:t>
      </w:r>
      <w:r w:rsidR="004F302C" w:rsidRPr="00A3168A">
        <w:t xml:space="preserve"> bol </w:t>
      </w:r>
      <w:r w:rsidR="002750B3" w:rsidRPr="00A3168A">
        <w:rPr>
          <w:b/>
        </w:rPr>
        <w:t>90</w:t>
      </w:r>
      <w:r w:rsidR="004F302C" w:rsidRPr="00A3168A">
        <w:rPr>
          <w:b/>
        </w:rPr>
        <w:t xml:space="preserve"> osôb</w:t>
      </w:r>
      <w:r w:rsidR="00FC3BCF" w:rsidRPr="00A3168A">
        <w:t xml:space="preserve"> vrátane prezident</w:t>
      </w:r>
      <w:r w:rsidR="00526F8D">
        <w:t>ky</w:t>
      </w:r>
      <w:r w:rsidR="00251B5C" w:rsidRPr="00A3168A">
        <w:t xml:space="preserve"> </w:t>
      </w:r>
      <w:r w:rsidR="00EC6FA5" w:rsidRPr="00A3168A">
        <w:t>republiky</w:t>
      </w:r>
      <w:r w:rsidR="00526F8D">
        <w:t>,</w:t>
      </w:r>
      <w:r w:rsidR="00EC6FA5" w:rsidRPr="00A3168A">
        <w:t xml:space="preserve"> </w:t>
      </w:r>
      <w:r w:rsidR="00007925" w:rsidRPr="00A3168A">
        <w:t xml:space="preserve">   </w:t>
      </w:r>
      <w:r w:rsidR="00251B5C" w:rsidRPr="00A3168A">
        <w:t>t.</w:t>
      </w:r>
      <w:r w:rsidR="00EC0D16" w:rsidRPr="00A3168A">
        <w:t xml:space="preserve"> </w:t>
      </w:r>
      <w:r w:rsidR="00251B5C" w:rsidRPr="00A3168A">
        <w:t>j.</w:t>
      </w:r>
      <w:r w:rsidR="00AD6282" w:rsidRPr="00A3168A">
        <w:t xml:space="preserve"> plnenie na</w:t>
      </w:r>
      <w:r w:rsidR="0041137E" w:rsidRPr="00A3168A">
        <w:t xml:space="preserve"> </w:t>
      </w:r>
      <w:r w:rsidR="00D3346C" w:rsidRPr="00A3168A">
        <w:t>89,11</w:t>
      </w:r>
      <w:r w:rsidR="00C50BEB" w:rsidRPr="00A3168A">
        <w:t xml:space="preserve"> </w:t>
      </w:r>
      <w:r w:rsidR="00251B5C" w:rsidRPr="00A3168A">
        <w:t>%.</w:t>
      </w:r>
    </w:p>
    <w:p w14:paraId="75B25AB9" w14:textId="77777777" w:rsidR="00E369AF" w:rsidRPr="00A3168A" w:rsidRDefault="00E369AF" w:rsidP="0021102E">
      <w:pPr>
        <w:tabs>
          <w:tab w:val="center" w:pos="0"/>
          <w:tab w:val="left" w:pos="567"/>
        </w:tabs>
        <w:jc w:val="both"/>
      </w:pPr>
    </w:p>
    <w:p w14:paraId="63017379" w14:textId="0C1606BB" w:rsidR="00044678" w:rsidRPr="00874698" w:rsidRDefault="00E12124" w:rsidP="00657DA5">
      <w:pPr>
        <w:tabs>
          <w:tab w:val="center" w:pos="0"/>
          <w:tab w:val="left" w:pos="567"/>
        </w:tabs>
        <w:jc w:val="both"/>
      </w:pPr>
      <w:r w:rsidRPr="00A3168A">
        <w:tab/>
      </w:r>
      <w:r w:rsidR="004F302C" w:rsidRPr="00874698">
        <w:t>Prehľad záväzných ukazovateľov Kan</w:t>
      </w:r>
      <w:r w:rsidR="002750B3" w:rsidRPr="00874698">
        <w:t>celárie prezidenta na rok 2020</w:t>
      </w:r>
      <w:r w:rsidR="004F302C" w:rsidRPr="00874698">
        <w:t xml:space="preserve"> a</w:t>
      </w:r>
      <w:r w:rsidR="00873D54" w:rsidRPr="00874698">
        <w:t> </w:t>
      </w:r>
      <w:r w:rsidR="004F302C" w:rsidRPr="00874698">
        <w:t>ich plnenie k</w:t>
      </w:r>
      <w:r w:rsidR="00873D54" w:rsidRPr="00874698">
        <w:t> </w:t>
      </w:r>
      <w:r w:rsidR="004F302C" w:rsidRPr="00874698">
        <w:t>schválenému rozpočtu a</w:t>
      </w:r>
      <w:r w:rsidR="00873D54" w:rsidRPr="00874698">
        <w:t> </w:t>
      </w:r>
      <w:r w:rsidR="004F302C" w:rsidRPr="00874698">
        <w:t>upravenému rozpočtu je uvedené v</w:t>
      </w:r>
      <w:r w:rsidR="00873D54" w:rsidRPr="00874698">
        <w:t> </w:t>
      </w:r>
      <w:r w:rsidR="004F302C" w:rsidRPr="00874698">
        <w:t>tabuľke:</w:t>
      </w:r>
      <w:r w:rsidR="00657DA5" w:rsidRPr="00874698">
        <w:t xml:space="preserve">  </w:t>
      </w:r>
      <w:r w:rsidR="004F302C" w:rsidRPr="00874698">
        <w:t xml:space="preserve">                                   </w:t>
      </w:r>
      <w:r w:rsidR="00657DA5" w:rsidRPr="00874698">
        <w:t xml:space="preserve">                    </w:t>
      </w:r>
    </w:p>
    <w:p w14:paraId="4F06BA4B" w14:textId="7ECFC264" w:rsidR="00547578" w:rsidRPr="00A3168A" w:rsidRDefault="006A49D3" w:rsidP="0011516F">
      <w:pPr>
        <w:tabs>
          <w:tab w:val="center" w:pos="0"/>
        </w:tabs>
        <w:jc w:val="right"/>
        <w:rPr>
          <w:i/>
        </w:rPr>
      </w:pPr>
      <w:r w:rsidRPr="00A3168A">
        <w:t xml:space="preserve">     </w:t>
      </w:r>
      <w:r w:rsidR="00FC3BCF" w:rsidRPr="00A3168A">
        <w:t xml:space="preserve">                         </w:t>
      </w:r>
      <w:r w:rsidR="004F302C" w:rsidRPr="00A3168A">
        <w:t xml:space="preserve">        </w:t>
      </w:r>
      <w:r w:rsidR="00754718" w:rsidRPr="00A3168A">
        <w:t xml:space="preserve">                    </w:t>
      </w:r>
      <w:r w:rsidR="004F302C" w:rsidRPr="00A3168A">
        <w:tab/>
      </w:r>
      <w:r w:rsidR="00251B5C" w:rsidRPr="00A3168A">
        <w:t xml:space="preserve">   </w:t>
      </w:r>
      <w:r w:rsidR="004F302C" w:rsidRPr="00A3168A">
        <w:t xml:space="preserve">       </w:t>
      </w:r>
      <w:r w:rsidR="007A3856" w:rsidRPr="00A3168A">
        <w:t xml:space="preserve">                           </w:t>
      </w:r>
      <w:r w:rsidR="007353E3" w:rsidRPr="00A3168A">
        <w:t xml:space="preserve">    </w:t>
      </w:r>
      <w:r w:rsidR="00B74D63" w:rsidRPr="00A3168A">
        <w:t xml:space="preserve">                                                                                   </w:t>
      </w:r>
      <w:r w:rsidR="007353E3" w:rsidRPr="00A3168A">
        <w:t xml:space="preserve"> </w:t>
      </w:r>
      <w:r w:rsidR="0021102E" w:rsidRPr="00A3168A">
        <w:t xml:space="preserve">   </w:t>
      </w:r>
      <w:r w:rsidR="004F302C" w:rsidRPr="00A3168A">
        <w:rPr>
          <w:i/>
        </w:rPr>
        <w:t>v</w:t>
      </w:r>
      <w:r w:rsidR="00547578" w:rsidRPr="00A3168A">
        <w:rPr>
          <w:i/>
        </w:rPr>
        <w:t> </w:t>
      </w:r>
      <w:r w:rsidR="00F27265" w:rsidRPr="00A3168A">
        <w:rPr>
          <w:i/>
        </w:rPr>
        <w:t>eurách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0"/>
        <w:gridCol w:w="1503"/>
        <w:gridCol w:w="1501"/>
        <w:gridCol w:w="1961"/>
        <w:gridCol w:w="980"/>
        <w:gridCol w:w="800"/>
      </w:tblGrid>
      <w:tr w:rsidR="00DF5BEC" w:rsidRPr="00A3168A" w14:paraId="711415EC" w14:textId="77777777" w:rsidTr="00173108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711D2B" w14:textId="77777777" w:rsidR="00DF5BEC" w:rsidRPr="00A3168A" w:rsidRDefault="00DF5BE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Záväzný ukazovateľ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78A3E8" w14:textId="77777777" w:rsidR="00DF5BEC" w:rsidRPr="00A3168A" w:rsidRDefault="00DF5BEC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Schválený rozpočet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34D857" w14:textId="77777777" w:rsidR="00DF5BEC" w:rsidRPr="00A3168A" w:rsidRDefault="00DF5BEC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Upravený rozpočet 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5C725F" w14:textId="5659A047" w:rsidR="00DF5BEC" w:rsidRPr="00A3168A" w:rsidRDefault="00857560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Skutočné plnenie</w:t>
            </w:r>
            <w:r w:rsidR="00173108" w:rsidRPr="00A3168A">
              <w:rPr>
                <w:b/>
                <w:bCs/>
                <w:color w:val="000000"/>
              </w:rPr>
              <w:t>/čerpanie</w:t>
            </w:r>
            <w:r w:rsidR="00DF5BEC" w:rsidRPr="00A3168A">
              <w:rPr>
                <w:b/>
                <w:bCs/>
                <w:color w:val="000000"/>
              </w:rPr>
              <w:t xml:space="preserve"> 2020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9C8E83" w14:textId="77777777" w:rsidR="00DF5BEC" w:rsidRPr="00A3168A" w:rsidRDefault="00DF5BEC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Plnenie v %</w:t>
            </w:r>
          </w:p>
        </w:tc>
      </w:tr>
      <w:tr w:rsidR="00DF5BEC" w:rsidRPr="00A3168A" w14:paraId="56083B08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F2E0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43D4" w14:textId="77777777" w:rsidR="00DF5BEC" w:rsidRPr="00A3168A" w:rsidRDefault="00DF5BEC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0EA9" w14:textId="77777777" w:rsidR="00DF5BEC" w:rsidRPr="00A3168A" w:rsidRDefault="00DF5BEC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1993" w14:textId="77777777" w:rsidR="00DF5BEC" w:rsidRPr="00A3168A" w:rsidRDefault="00DF5BEC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EE61" w14:textId="77777777" w:rsidR="00DF5BEC" w:rsidRPr="00A3168A" w:rsidRDefault="00DF5BEC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III./I.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A7C5" w14:textId="77777777" w:rsidR="00DF5BEC" w:rsidRPr="00A3168A" w:rsidRDefault="00DF5BEC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III./II</w:t>
            </w:r>
          </w:p>
        </w:tc>
      </w:tr>
      <w:tr w:rsidR="00DF5BEC" w:rsidRPr="00A3168A" w14:paraId="0A8C832F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9586" w14:textId="77777777" w:rsidR="00DF5BEC" w:rsidRPr="00A3168A" w:rsidRDefault="00DF5BEC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Príjmy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F392" w14:textId="53701D16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15</w:t>
            </w:r>
            <w:r w:rsidR="000A0AEB" w:rsidRPr="00A3168A">
              <w:rPr>
                <w:b/>
                <w:bCs/>
                <w:color w:val="000000"/>
              </w:rPr>
              <w:t> </w:t>
            </w:r>
            <w:r w:rsidRPr="00A3168A">
              <w:rPr>
                <w:b/>
                <w:bCs/>
                <w:color w:val="000000"/>
              </w:rPr>
              <w:t>000</w:t>
            </w:r>
            <w:r w:rsidR="000A0AEB" w:rsidRPr="00A3168A">
              <w:rPr>
                <w:b/>
                <w:bCs/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033B" w14:textId="7DFE5015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15</w:t>
            </w:r>
            <w:r w:rsidR="000A0AEB" w:rsidRPr="00A3168A">
              <w:rPr>
                <w:b/>
                <w:bCs/>
                <w:color w:val="000000"/>
              </w:rPr>
              <w:t> </w:t>
            </w:r>
            <w:r w:rsidRPr="00A3168A">
              <w:rPr>
                <w:b/>
                <w:bCs/>
                <w:color w:val="000000"/>
              </w:rPr>
              <w:t>000</w:t>
            </w:r>
            <w:r w:rsidR="000A0AEB" w:rsidRPr="00A3168A">
              <w:rPr>
                <w:b/>
                <w:bCs/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A416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13 965,33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9590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93,10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B0A4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93,10</w:t>
            </w:r>
          </w:p>
        </w:tc>
      </w:tr>
      <w:tr w:rsidR="00D3346C" w:rsidRPr="00A3168A" w14:paraId="7DAFD48E" w14:textId="77777777" w:rsidTr="00173108">
        <w:trPr>
          <w:trHeight w:val="3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A4B2B" w14:textId="3AF95E75" w:rsidR="00D3346C" w:rsidRPr="00A3168A" w:rsidRDefault="00D3346C">
            <w:pPr>
              <w:rPr>
                <w:color w:val="000000"/>
              </w:rPr>
            </w:pPr>
            <w:r w:rsidRPr="00A3168A">
              <w:rPr>
                <w:color w:val="000000"/>
              </w:rPr>
              <w:t>V tom: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29639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9EE3D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5525C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4FBD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E7F8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3346C" w:rsidRPr="00A3168A" w14:paraId="1373685B" w14:textId="77777777" w:rsidTr="00173108">
        <w:trPr>
          <w:trHeight w:val="4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9172" w14:textId="5A37C5CE" w:rsidR="00D3346C" w:rsidRPr="00A3168A" w:rsidRDefault="00D3346C">
            <w:pPr>
              <w:rPr>
                <w:color w:val="000000"/>
              </w:rPr>
            </w:pPr>
            <w:r w:rsidRPr="00A3168A">
              <w:rPr>
                <w:color w:val="000000"/>
              </w:rPr>
              <w:t>Záväzný ukazovateľ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98A7F" w14:textId="176B3CEF" w:rsidR="00D3346C" w:rsidRPr="00A3168A" w:rsidRDefault="00D3346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F9EF" w14:textId="2E2891D0" w:rsidR="00D3346C" w:rsidRPr="00A3168A" w:rsidRDefault="00D3346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30D3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CD0D0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A44F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F5BEC" w:rsidRPr="00A3168A" w14:paraId="27A44D6E" w14:textId="77777777" w:rsidTr="00173108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625D" w14:textId="1256235D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Príjmy  podľa §17 ods. 4 zákona </w:t>
            </w:r>
            <w:r w:rsidR="00131148">
              <w:rPr>
                <w:color w:val="000000"/>
              </w:rPr>
              <w:t xml:space="preserve">č. </w:t>
            </w:r>
            <w:r w:rsidRPr="00A3168A">
              <w:rPr>
                <w:color w:val="000000"/>
              </w:rPr>
              <w:t>523/2004 Z.</w:t>
            </w:r>
            <w:r w:rsidR="000B5F8E">
              <w:rPr>
                <w:color w:val="000000"/>
              </w:rPr>
              <w:t xml:space="preserve"> </w:t>
            </w:r>
            <w:r w:rsidRPr="00A3168A">
              <w:rPr>
                <w:color w:val="000000"/>
              </w:rPr>
              <w:t>z.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5DC8" w14:textId="6A607EE6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8CE3" w14:textId="376B6860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A207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BDE8" w14:textId="77777777" w:rsidR="00DF5BEC" w:rsidRPr="00134695" w:rsidRDefault="00DF5BEC">
            <w:pPr>
              <w:jc w:val="right"/>
              <w:rPr>
                <w:bCs/>
                <w:color w:val="000000"/>
              </w:rPr>
            </w:pPr>
            <w:r w:rsidRPr="00134695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658A" w14:textId="77777777" w:rsidR="00DF5BEC" w:rsidRPr="00134695" w:rsidRDefault="00DF5BEC">
            <w:pPr>
              <w:jc w:val="right"/>
              <w:rPr>
                <w:bCs/>
                <w:color w:val="000000"/>
              </w:rPr>
            </w:pPr>
            <w:r w:rsidRPr="00134695">
              <w:rPr>
                <w:bCs/>
                <w:color w:val="000000"/>
              </w:rPr>
              <w:t>0,00</w:t>
            </w:r>
          </w:p>
        </w:tc>
      </w:tr>
      <w:tr w:rsidR="00857560" w:rsidRPr="00A3168A" w14:paraId="687BCBE9" w14:textId="77777777" w:rsidTr="0017310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AC06" w14:textId="54F21A3D" w:rsidR="00857560" w:rsidRPr="00A3168A" w:rsidRDefault="000A0AEB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Príjmy z EÚ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17FA" w14:textId="3987CC3B" w:rsidR="00857560" w:rsidRPr="00A3168A" w:rsidRDefault="000A0AEB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BBB2" w14:textId="1B2863EE" w:rsidR="00857560" w:rsidRPr="00A3168A" w:rsidRDefault="000A0AEB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F6876" w14:textId="6DC9744E" w:rsidR="00857560" w:rsidRPr="00A3168A" w:rsidRDefault="000A0AEB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77E09" w14:textId="110DB66B" w:rsidR="00857560" w:rsidRPr="00A3168A" w:rsidRDefault="000A0AEB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132F" w14:textId="72343A3D" w:rsidR="00857560" w:rsidRPr="00A3168A" w:rsidRDefault="000A0AEB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</w:tr>
      <w:tr w:rsidR="00FC0273" w:rsidRPr="00A3168A" w14:paraId="03B9EC97" w14:textId="77777777" w:rsidTr="00FC0273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96A9E4" w14:textId="77777777" w:rsidR="00FC0273" w:rsidRPr="00A3168A" w:rsidRDefault="00FC0273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008B16" w14:textId="77777777" w:rsidR="00FC0273" w:rsidRPr="00A3168A" w:rsidRDefault="00FC027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E49D1D" w14:textId="77777777" w:rsidR="00FC0273" w:rsidRPr="00A3168A" w:rsidRDefault="00FC027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6C3E5F" w14:textId="77777777" w:rsidR="00FC0273" w:rsidRPr="00A3168A" w:rsidRDefault="00FC027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4A19E60" w14:textId="77777777" w:rsidR="00FC0273" w:rsidRPr="00A3168A" w:rsidRDefault="00FC027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96E0" w14:textId="77777777" w:rsidR="00FC0273" w:rsidRPr="00A3168A" w:rsidRDefault="00FC0273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F5BEC" w:rsidRPr="00A3168A" w14:paraId="313518D7" w14:textId="77777777" w:rsidTr="0017310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36D2" w14:textId="77777777" w:rsidR="00DF5BEC" w:rsidRPr="00A3168A" w:rsidRDefault="00DF5BEC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Výdavky celkom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0988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5 050 711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67D2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5 758 236,85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ACB9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5 753 226,20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E8FB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113,91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D2BB" w14:textId="77777777" w:rsidR="00DF5BEC" w:rsidRPr="00A3168A" w:rsidRDefault="00DF5BEC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99,91</w:t>
            </w:r>
          </w:p>
        </w:tc>
      </w:tr>
      <w:tr w:rsidR="00D3346C" w:rsidRPr="00A3168A" w14:paraId="0A6E5357" w14:textId="77777777" w:rsidTr="00173108">
        <w:trPr>
          <w:trHeight w:val="4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03B1" w14:textId="226AE296" w:rsidR="00D3346C" w:rsidRPr="00A3168A" w:rsidRDefault="00D3346C">
            <w:pPr>
              <w:rPr>
                <w:color w:val="000000"/>
              </w:rPr>
            </w:pPr>
            <w:r w:rsidRPr="00A3168A">
              <w:rPr>
                <w:color w:val="000000"/>
              </w:rPr>
              <w:t>V tom: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9376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400F1" w14:textId="77777777" w:rsidR="00D3346C" w:rsidRPr="00A3168A" w:rsidRDefault="00D3346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E6AE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285D7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560C5" w14:textId="77777777" w:rsidR="00D3346C" w:rsidRPr="00A3168A" w:rsidRDefault="00D3346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F5BEC" w:rsidRPr="00A3168A" w14:paraId="205A2308" w14:textId="77777777" w:rsidTr="00173108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BFD4" w14:textId="0D8DD404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Výdavky podľa § 17 ods.4 zákona</w:t>
            </w:r>
            <w:r w:rsidR="00131148">
              <w:rPr>
                <w:color w:val="000000"/>
              </w:rPr>
              <w:t xml:space="preserve"> č.</w:t>
            </w:r>
            <w:r w:rsidRPr="00A3168A">
              <w:rPr>
                <w:color w:val="000000"/>
              </w:rPr>
              <w:t xml:space="preserve"> 523/2004 Z.</w:t>
            </w:r>
            <w:r w:rsidR="000B5F8E">
              <w:rPr>
                <w:color w:val="000000"/>
              </w:rPr>
              <w:t xml:space="preserve"> </w:t>
            </w:r>
            <w:r w:rsidRPr="00A3168A">
              <w:rPr>
                <w:color w:val="000000"/>
              </w:rPr>
              <w:t>z.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0C0B" w14:textId="1F0FEAD0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EEA5" w14:textId="61CC8D0B" w:rsidR="00DF5BEC" w:rsidRPr="00A3168A" w:rsidRDefault="00857560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F1F5" w14:textId="77777777" w:rsidR="00DF5BEC" w:rsidRPr="00134695" w:rsidRDefault="00DF5BEC">
            <w:pPr>
              <w:jc w:val="right"/>
              <w:rPr>
                <w:bCs/>
                <w:color w:val="000000"/>
              </w:rPr>
            </w:pPr>
            <w:r w:rsidRPr="00134695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F874" w14:textId="77777777" w:rsidR="00DF5BEC" w:rsidRPr="00134695" w:rsidRDefault="00DF5BEC">
            <w:pPr>
              <w:jc w:val="right"/>
              <w:rPr>
                <w:bCs/>
                <w:color w:val="000000"/>
              </w:rPr>
            </w:pPr>
            <w:r w:rsidRPr="00134695">
              <w:rPr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59AC" w14:textId="77777777" w:rsidR="00DF5BEC" w:rsidRPr="00134695" w:rsidRDefault="00DF5BEC">
            <w:pPr>
              <w:jc w:val="right"/>
              <w:rPr>
                <w:bCs/>
                <w:color w:val="000000"/>
              </w:rPr>
            </w:pPr>
            <w:r w:rsidRPr="00134695">
              <w:rPr>
                <w:bCs/>
                <w:color w:val="000000"/>
              </w:rPr>
              <w:t>0,00</w:t>
            </w:r>
          </w:p>
        </w:tc>
      </w:tr>
      <w:tr w:rsidR="00DF5BEC" w:rsidRPr="00A3168A" w14:paraId="0EF4B577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B403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z toho: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A338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63CD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7BC0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4B25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8E7B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A81F1E" w:rsidRPr="00A3168A" w14:paraId="7D8A5DEE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32D22" w14:textId="4BBB8909" w:rsidR="00A81F1E" w:rsidRPr="00A3168A" w:rsidRDefault="00A81F1E">
            <w:pPr>
              <w:rPr>
                <w:color w:val="000000"/>
              </w:rPr>
            </w:pPr>
            <w:r w:rsidRPr="00A3168A">
              <w:rPr>
                <w:color w:val="000000"/>
              </w:rPr>
              <w:t>Výdavky hradené z EÚ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645F" w14:textId="665AE0CB" w:rsidR="00A81F1E" w:rsidRPr="00A3168A" w:rsidRDefault="00A81F1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23D05" w14:textId="21A97FCB" w:rsidR="00A81F1E" w:rsidRPr="00A3168A" w:rsidRDefault="00A81F1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BE9C" w14:textId="33EDF259" w:rsidR="00A81F1E" w:rsidRPr="00A3168A" w:rsidRDefault="00A81F1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C3FB1" w14:textId="5A867D80" w:rsidR="00A81F1E" w:rsidRPr="00A3168A" w:rsidRDefault="00A81F1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414B0" w14:textId="41C4DF04" w:rsidR="00A81F1E" w:rsidRPr="00A3168A" w:rsidRDefault="00A81F1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</w:tr>
      <w:tr w:rsidR="00DF5BEC" w:rsidRPr="00A3168A" w14:paraId="30239E8A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5338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Kapitálové výdavky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8600" w14:textId="73F2A4E8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000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951B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406 652,05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DDE3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406 652,05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2654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5 083,15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4EB1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DF5BEC" w:rsidRPr="00A3168A" w14:paraId="0CB219E7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DD7D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Bežné výdavky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EE95" w14:textId="34B0AE51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5 037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711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B2BA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5 346 584,80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94B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5 346 574,15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DF20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C743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DF5BEC" w:rsidRPr="00A3168A" w14:paraId="10B96805" w14:textId="77777777" w:rsidTr="00173108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6E1D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v tom: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150C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1DEA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6876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3129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D7DF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DF5BEC" w:rsidRPr="00A3168A" w14:paraId="3A65F0E8" w14:textId="77777777" w:rsidTr="0017310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51C6" w14:textId="77777777" w:rsidR="00DF5BEC" w:rsidRPr="00A3168A" w:rsidRDefault="00DF5BEC">
            <w:pPr>
              <w:rPr>
                <w:color w:val="000000"/>
              </w:rPr>
            </w:pPr>
            <w:r w:rsidRPr="00A3168A">
              <w:rPr>
                <w:color w:val="000000"/>
              </w:rPr>
              <w:t>mzdy, platy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D720" w14:textId="02FE0913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2 629</w:t>
            </w:r>
            <w:r w:rsidR="000A0AEB" w:rsidRPr="00A3168A">
              <w:rPr>
                <w:color w:val="000000"/>
              </w:rPr>
              <w:t> </w:t>
            </w:r>
            <w:r w:rsidRPr="00A3168A">
              <w:rPr>
                <w:color w:val="000000"/>
              </w:rPr>
              <w:t>287</w:t>
            </w:r>
            <w:r w:rsidR="000A0AEB" w:rsidRPr="00A3168A">
              <w:rPr>
                <w:color w:val="000000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90F6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2 640 663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F8E6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2 640 663,00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46A0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555F" w14:textId="77777777" w:rsidR="00DF5BEC" w:rsidRPr="00A3168A" w:rsidRDefault="00DF5BE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DF5BEC" w:rsidRPr="00A3168A" w14:paraId="01FEFDC6" w14:textId="77777777" w:rsidTr="0017310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D47D" w14:textId="77777777" w:rsidR="00DF5BEC" w:rsidRPr="00A3168A" w:rsidRDefault="00DF5BEC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Zamestnanci (osoby)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A1F1" w14:textId="77777777" w:rsidR="00DF5BEC" w:rsidRPr="00D0168D" w:rsidRDefault="00DF5BEC">
            <w:pPr>
              <w:jc w:val="right"/>
              <w:rPr>
                <w:b/>
                <w:color w:val="000000"/>
              </w:rPr>
            </w:pPr>
            <w:r w:rsidRPr="00D0168D">
              <w:rPr>
                <w:b/>
                <w:color w:val="00000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6EFF" w14:textId="77777777" w:rsidR="00DF5BEC" w:rsidRPr="00D0168D" w:rsidRDefault="00DF5BEC">
            <w:pPr>
              <w:jc w:val="right"/>
              <w:rPr>
                <w:b/>
                <w:color w:val="000000"/>
              </w:rPr>
            </w:pPr>
            <w:r w:rsidRPr="00D0168D">
              <w:rPr>
                <w:b/>
                <w:color w:val="00000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FB50" w14:textId="1C3B0855" w:rsidR="00DF5BEC" w:rsidRPr="00D0168D" w:rsidRDefault="00173108">
            <w:pPr>
              <w:jc w:val="right"/>
              <w:rPr>
                <w:b/>
                <w:color w:val="000000"/>
              </w:rPr>
            </w:pPr>
            <w:r w:rsidRPr="00D0168D">
              <w:rPr>
                <w:b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FFB43" w14:textId="77777777" w:rsidR="00DF5BEC" w:rsidRPr="00D0168D" w:rsidRDefault="00DF5BEC">
            <w:pPr>
              <w:jc w:val="right"/>
              <w:rPr>
                <w:b/>
                <w:color w:val="000000"/>
              </w:rPr>
            </w:pPr>
            <w:r w:rsidRPr="00D0168D">
              <w:rPr>
                <w:b/>
                <w:color w:val="000000"/>
              </w:rPr>
              <w:t>89,11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12F5" w14:textId="77777777" w:rsidR="00DF5BEC" w:rsidRPr="00D0168D" w:rsidRDefault="00DF5BEC">
            <w:pPr>
              <w:jc w:val="right"/>
              <w:rPr>
                <w:b/>
                <w:color w:val="000000"/>
              </w:rPr>
            </w:pPr>
            <w:r w:rsidRPr="00D0168D">
              <w:rPr>
                <w:b/>
                <w:color w:val="000000"/>
              </w:rPr>
              <w:t>89,11</w:t>
            </w:r>
          </w:p>
        </w:tc>
      </w:tr>
    </w:tbl>
    <w:p w14:paraId="44D70FCC" w14:textId="5D78B1EA" w:rsidR="00F27265" w:rsidRPr="00A3168A" w:rsidRDefault="00F27265" w:rsidP="009D4AF8">
      <w:pPr>
        <w:tabs>
          <w:tab w:val="center" w:pos="0"/>
          <w:tab w:val="left" w:pos="567"/>
        </w:tabs>
        <w:jc w:val="both"/>
        <w:rPr>
          <w:shd w:val="clear" w:color="auto" w:fill="FFFFFF"/>
        </w:rPr>
      </w:pPr>
    </w:p>
    <w:p w14:paraId="7A4E4EFF" w14:textId="07EB8EC7" w:rsidR="00A81F1E" w:rsidRPr="00A3168A" w:rsidRDefault="00A81F1E" w:rsidP="009D4AF8">
      <w:pPr>
        <w:tabs>
          <w:tab w:val="center" w:pos="0"/>
          <w:tab w:val="left" w:pos="567"/>
        </w:tabs>
        <w:jc w:val="both"/>
        <w:rPr>
          <w:shd w:val="clear" w:color="auto" w:fill="FFFFFF"/>
        </w:rPr>
      </w:pPr>
      <w:r w:rsidRPr="00A3168A">
        <w:rPr>
          <w:shd w:val="clear" w:color="auto" w:fill="FFFFFF"/>
        </w:rPr>
        <w:tab/>
        <w:t>Kancelária prezidenta v hodnotenom období neprijala žiadne prostriedky z Európskej únie a ani nečerpala prostriedky z rozpočtu Európskej únie.</w:t>
      </w:r>
    </w:p>
    <w:p w14:paraId="72D118EB" w14:textId="77777777" w:rsidR="00A81F1E" w:rsidRPr="00A3168A" w:rsidRDefault="00A81F1E" w:rsidP="009D4AF8">
      <w:pPr>
        <w:tabs>
          <w:tab w:val="center" w:pos="0"/>
          <w:tab w:val="left" w:pos="567"/>
        </w:tabs>
        <w:jc w:val="both"/>
        <w:rPr>
          <w:shd w:val="clear" w:color="auto" w:fill="FFFFFF"/>
        </w:rPr>
      </w:pPr>
    </w:p>
    <w:p w14:paraId="225C8E73" w14:textId="09284433" w:rsidR="003E0924" w:rsidRPr="00A3168A" w:rsidRDefault="00776011" w:rsidP="00776011">
      <w:pPr>
        <w:pStyle w:val="Nadpis3"/>
        <w:numPr>
          <w:ilvl w:val="2"/>
          <w:numId w:val="28"/>
        </w:numPr>
        <w:rPr>
          <w:rFonts w:ascii="Times New Roman" w:hAnsi="Times New Roman" w:cs="Times New Roman"/>
          <w:shd w:val="clear" w:color="auto" w:fill="FFFFFF"/>
        </w:rPr>
      </w:pPr>
      <w:r w:rsidRPr="00A3168A">
        <w:rPr>
          <w:rFonts w:ascii="Times New Roman" w:hAnsi="Times New Roman" w:cs="Times New Roman"/>
          <w:shd w:val="clear" w:color="auto" w:fill="FFFFFF"/>
        </w:rPr>
        <w:lastRenderedPageBreak/>
        <w:t xml:space="preserve"> </w:t>
      </w:r>
      <w:bookmarkStart w:id="5" w:name="_Toc71783114"/>
      <w:r w:rsidR="003E0924" w:rsidRPr="00A3168A">
        <w:rPr>
          <w:rFonts w:ascii="Times New Roman" w:hAnsi="Times New Roman" w:cs="Times New Roman"/>
          <w:shd w:val="clear" w:color="auto" w:fill="FFFFFF"/>
        </w:rPr>
        <w:t>Zhodnotenie plnenia záväzných ukazovateľov rozpočtu kapitoly</w:t>
      </w:r>
      <w:bookmarkEnd w:id="5"/>
    </w:p>
    <w:p w14:paraId="53D19E81" w14:textId="77777777" w:rsidR="003E0924" w:rsidRPr="00A3168A" w:rsidRDefault="003E0924" w:rsidP="003E0924">
      <w:pPr>
        <w:pStyle w:val="Odsekzoznamu"/>
        <w:tabs>
          <w:tab w:val="center" w:pos="4536"/>
        </w:tabs>
        <w:ind w:left="915"/>
        <w:jc w:val="both"/>
        <w:rPr>
          <w:shd w:val="clear" w:color="auto" w:fill="FFFFFF"/>
        </w:rPr>
      </w:pPr>
    </w:p>
    <w:p w14:paraId="7BCD9925" w14:textId="4F770936" w:rsidR="00050FE8" w:rsidRDefault="00050FE8" w:rsidP="004B677C">
      <w:pPr>
        <w:pStyle w:val="Odsekzoznamu"/>
        <w:ind w:left="0" w:firstLine="567"/>
        <w:jc w:val="both"/>
        <w:rPr>
          <w:shd w:val="clear" w:color="auto" w:fill="FFFFFF"/>
        </w:rPr>
      </w:pPr>
      <w:r w:rsidRPr="00A3168A">
        <w:rPr>
          <w:shd w:val="clear" w:color="auto" w:fill="FFFFFF"/>
        </w:rPr>
        <w:t>Na základe listu ministerstva financií č. MF/019670/2019-441 zo dňa 11.12.2019</w:t>
      </w:r>
      <w:r w:rsidR="00AB79E4" w:rsidRPr="00A3168A">
        <w:rPr>
          <w:shd w:val="clear" w:color="auto" w:fill="FFFFFF"/>
        </w:rPr>
        <w:t xml:space="preserve">                       </w:t>
      </w:r>
      <w:r w:rsidRPr="00A3168A">
        <w:rPr>
          <w:shd w:val="clear" w:color="auto" w:fill="FFFFFF"/>
        </w:rPr>
        <w:t xml:space="preserve"> </w:t>
      </w:r>
      <w:r w:rsidR="00AB79E4" w:rsidRPr="00A3168A">
        <w:rPr>
          <w:shd w:val="clear" w:color="auto" w:fill="FFFFFF"/>
        </w:rPr>
        <w:t xml:space="preserve">a </w:t>
      </w:r>
      <w:r w:rsidRPr="00A3168A">
        <w:rPr>
          <w:shd w:val="clear" w:color="auto" w:fill="FFFFFF"/>
        </w:rPr>
        <w:t xml:space="preserve">v nadväznosti na vládny návrh zákona o štátnom </w:t>
      </w:r>
      <w:r w:rsidR="00AB79E4" w:rsidRPr="00A3168A">
        <w:rPr>
          <w:shd w:val="clear" w:color="auto" w:fill="FFFFFF"/>
        </w:rPr>
        <w:t>rozpočte na rok 2020, ktorý</w:t>
      </w:r>
      <w:r w:rsidRPr="00A3168A">
        <w:rPr>
          <w:shd w:val="clear" w:color="auto" w:fill="FFFFFF"/>
        </w:rPr>
        <w:t xml:space="preserve"> bo</w:t>
      </w:r>
      <w:r w:rsidR="00526F8D">
        <w:rPr>
          <w:shd w:val="clear" w:color="auto" w:fill="FFFFFF"/>
        </w:rPr>
        <w:t>l prerokovaný v Národnej rade Slovenskej republiky</w:t>
      </w:r>
      <w:r w:rsidRPr="00A3168A">
        <w:rPr>
          <w:shd w:val="clear" w:color="auto" w:fill="FFFFFF"/>
        </w:rPr>
        <w:t xml:space="preserve"> a schválený dňa 03.12.2019 zákonom č. 468/2019 </w:t>
      </w:r>
      <w:r w:rsidR="00D0168D">
        <w:rPr>
          <w:shd w:val="clear" w:color="auto" w:fill="FFFFFF"/>
        </w:rPr>
        <w:t xml:space="preserve">                  </w:t>
      </w:r>
      <w:r w:rsidRPr="00A3168A">
        <w:rPr>
          <w:shd w:val="clear" w:color="auto" w:fill="FFFFFF"/>
        </w:rPr>
        <w:t>Z.</w:t>
      </w:r>
      <w:r w:rsidR="004C7411" w:rsidRPr="00A3168A">
        <w:rPr>
          <w:shd w:val="clear" w:color="auto" w:fill="FFFFFF"/>
        </w:rPr>
        <w:t xml:space="preserve"> </w:t>
      </w:r>
      <w:r w:rsidRPr="00A3168A">
        <w:rPr>
          <w:shd w:val="clear" w:color="auto" w:fill="FFFFFF"/>
        </w:rPr>
        <w:t>z. o štát</w:t>
      </w:r>
      <w:r w:rsidR="00526F8D">
        <w:rPr>
          <w:shd w:val="clear" w:color="auto" w:fill="FFFFFF"/>
        </w:rPr>
        <w:t xml:space="preserve">nom rozpočte </w:t>
      </w:r>
      <w:r w:rsidRPr="00A3168A">
        <w:rPr>
          <w:shd w:val="clear" w:color="auto" w:fill="FFFFFF"/>
        </w:rPr>
        <w:t>na rok 2020</w:t>
      </w:r>
      <w:r w:rsidR="00526F8D">
        <w:rPr>
          <w:shd w:val="clear" w:color="auto" w:fill="FFFFFF"/>
        </w:rPr>
        <w:t>,</w:t>
      </w:r>
      <w:r w:rsidRPr="00A3168A">
        <w:rPr>
          <w:shd w:val="clear" w:color="auto" w:fill="FFFFFF"/>
        </w:rPr>
        <w:t xml:space="preserve"> K</w:t>
      </w:r>
      <w:r w:rsidR="00AB79E4" w:rsidRPr="00A3168A">
        <w:rPr>
          <w:shd w:val="clear" w:color="auto" w:fill="FFFFFF"/>
        </w:rPr>
        <w:t xml:space="preserve">ancelária prezidenta hospodárila s rozpísanými rozpočtovými prostriedkami. </w:t>
      </w:r>
    </w:p>
    <w:p w14:paraId="0E2B61EF" w14:textId="77777777" w:rsidR="007217D8" w:rsidRPr="00A3168A" w:rsidRDefault="007217D8" w:rsidP="004B677C">
      <w:pPr>
        <w:pStyle w:val="Odsekzoznamu"/>
        <w:ind w:left="0" w:firstLine="567"/>
        <w:jc w:val="both"/>
        <w:rPr>
          <w:shd w:val="clear" w:color="auto" w:fill="FFFFFF"/>
        </w:rPr>
      </w:pPr>
    </w:p>
    <w:p w14:paraId="2FE78F10" w14:textId="17D5C727" w:rsidR="006445A3" w:rsidRDefault="006445A3" w:rsidP="00131148">
      <w:pPr>
        <w:tabs>
          <w:tab w:val="center" w:pos="0"/>
          <w:tab w:val="left" w:pos="567"/>
        </w:tabs>
        <w:jc w:val="both"/>
      </w:pPr>
      <w:r w:rsidRPr="00A3168A">
        <w:rPr>
          <w:b/>
        </w:rPr>
        <w:tab/>
      </w:r>
      <w:r w:rsidRPr="00A3168A">
        <w:t>Kancelária prezidenta v roku</w:t>
      </w:r>
      <w:r w:rsidR="00726F9D" w:rsidRPr="00A3168A">
        <w:t xml:space="preserve"> 2020</w:t>
      </w:r>
      <w:r w:rsidRPr="00A3168A">
        <w:t xml:space="preserve"> dodržala všetky záväzné ukazovatele stanovené zákonom č. </w:t>
      </w:r>
      <w:r w:rsidR="00726F9D" w:rsidRPr="00A3168A">
        <w:t>468/2019</w:t>
      </w:r>
      <w:r w:rsidRPr="00A3168A">
        <w:t xml:space="preserve"> Z. </w:t>
      </w:r>
      <w:r w:rsidR="00726F9D" w:rsidRPr="00A3168A">
        <w:t>z. o štátnom rozpočte na rok 2020</w:t>
      </w:r>
      <w:r w:rsidRPr="00A3168A">
        <w:t>, vrátane vykonaných rozpočtových opatrení.</w:t>
      </w:r>
      <w:r w:rsidR="00D6306A" w:rsidRPr="00A3168A">
        <w:t xml:space="preserve"> Schvál</w:t>
      </w:r>
      <w:r w:rsidR="00726F9D" w:rsidRPr="00A3168A">
        <w:t>ený rozpočet výdavkov na rok 2020</w:t>
      </w:r>
      <w:r w:rsidR="00D6306A" w:rsidRPr="00A3168A">
        <w:t xml:space="preserve"> bol so súhlasom </w:t>
      </w:r>
      <w:r w:rsidR="00932B4F" w:rsidRPr="00A3168A">
        <w:t>m</w:t>
      </w:r>
      <w:r w:rsidR="00D6306A" w:rsidRPr="00A3168A">
        <w:t xml:space="preserve">inisterstva financií upravený </w:t>
      </w:r>
      <w:r w:rsidR="007749C4" w:rsidRPr="00A3168A">
        <w:t xml:space="preserve">              </w:t>
      </w:r>
      <w:r w:rsidR="00726F9D" w:rsidRPr="00A3168A">
        <w:t>14</w:t>
      </w:r>
      <w:r w:rsidR="003D62FE" w:rsidRPr="00A3168A">
        <w:t xml:space="preserve"> rozpočtovými opatreniami. Ostatné úpravy sa týkali interných presunov, ktoré nepodliehajú schvaľovaciemu</w:t>
      </w:r>
      <w:r w:rsidR="0006189D" w:rsidRPr="00A3168A">
        <w:t xml:space="preserve"> procesu </w:t>
      </w:r>
      <w:r w:rsidR="00932B4F" w:rsidRPr="00A3168A">
        <w:t>m</w:t>
      </w:r>
      <w:r w:rsidR="0006189D" w:rsidRPr="00A3168A">
        <w:t>inisterstvom financií</w:t>
      </w:r>
      <w:r w:rsidR="003D62FE" w:rsidRPr="00A3168A">
        <w:t>.</w:t>
      </w:r>
    </w:p>
    <w:p w14:paraId="7F45EB9F" w14:textId="77777777" w:rsidR="007217D8" w:rsidRPr="00A3168A" w:rsidRDefault="007217D8" w:rsidP="00131148">
      <w:pPr>
        <w:tabs>
          <w:tab w:val="center" w:pos="0"/>
          <w:tab w:val="left" w:pos="567"/>
        </w:tabs>
        <w:jc w:val="both"/>
      </w:pPr>
    </w:p>
    <w:p w14:paraId="2112BC24" w14:textId="3C61973F" w:rsidR="00D3346C" w:rsidRPr="00A3168A" w:rsidRDefault="00932A9C" w:rsidP="00E369AF">
      <w:pPr>
        <w:tabs>
          <w:tab w:val="left" w:pos="567"/>
        </w:tabs>
        <w:jc w:val="both"/>
        <w:rPr>
          <w:shd w:val="clear" w:color="auto" w:fill="FFFFFF"/>
        </w:rPr>
      </w:pPr>
      <w:r w:rsidRPr="00A3168A">
        <w:tab/>
      </w:r>
      <w:r w:rsidR="00A76C71" w:rsidRPr="00A3168A">
        <w:rPr>
          <w:shd w:val="clear" w:color="auto" w:fill="FFFFFF"/>
        </w:rPr>
        <w:t xml:space="preserve">Záväzný ukazovateľ – počet zamestnancov 101 </w:t>
      </w:r>
      <w:r w:rsidR="00526F8D">
        <w:rPr>
          <w:shd w:val="clear" w:color="auto" w:fill="FFFFFF"/>
        </w:rPr>
        <w:t xml:space="preserve">– </w:t>
      </w:r>
      <w:r w:rsidR="00A76C71" w:rsidRPr="00A3168A">
        <w:rPr>
          <w:shd w:val="clear" w:color="auto" w:fill="FFFFFF"/>
        </w:rPr>
        <w:t xml:space="preserve">nebol naplnený. Skutočný fyzický stav </w:t>
      </w:r>
      <w:r w:rsidR="00726F9D" w:rsidRPr="00A3168A">
        <w:rPr>
          <w:shd w:val="clear" w:color="auto" w:fill="FFFFFF"/>
        </w:rPr>
        <w:t>zamestnancov k 31.12.2020</w:t>
      </w:r>
      <w:r w:rsidR="00A76C71" w:rsidRPr="00A3168A">
        <w:rPr>
          <w:shd w:val="clear" w:color="auto" w:fill="FFFFFF"/>
        </w:rPr>
        <w:t xml:space="preserve"> bol </w:t>
      </w:r>
      <w:r w:rsidR="00726F9D" w:rsidRPr="00A3168A">
        <w:rPr>
          <w:shd w:val="clear" w:color="auto" w:fill="FFFFFF"/>
        </w:rPr>
        <w:t>90</w:t>
      </w:r>
      <w:r w:rsidR="00A76C71" w:rsidRPr="00A3168A">
        <w:rPr>
          <w:shd w:val="clear" w:color="auto" w:fill="FFFFFF"/>
        </w:rPr>
        <w:t xml:space="preserve"> </w:t>
      </w:r>
      <w:r w:rsidRPr="00A3168A">
        <w:rPr>
          <w:shd w:val="clear" w:color="auto" w:fill="FFFFFF"/>
        </w:rPr>
        <w:t>(</w:t>
      </w:r>
      <w:r w:rsidR="00A76C71" w:rsidRPr="00A3168A">
        <w:rPr>
          <w:shd w:val="clear" w:color="auto" w:fill="FFFFFF"/>
        </w:rPr>
        <w:t>vrátane ústavného činiteľa</w:t>
      </w:r>
      <w:r w:rsidRPr="00A3168A">
        <w:rPr>
          <w:shd w:val="clear" w:color="auto" w:fill="FFFFFF"/>
        </w:rPr>
        <w:t xml:space="preserve">), čo predstavuje plnenie </w:t>
      </w:r>
      <w:r w:rsidR="00BE2C7A" w:rsidRPr="00A3168A">
        <w:rPr>
          <w:shd w:val="clear" w:color="auto" w:fill="FFFFFF"/>
        </w:rPr>
        <w:t xml:space="preserve">                     na </w:t>
      </w:r>
      <w:r w:rsidR="00657DA5" w:rsidRPr="00A3168A">
        <w:rPr>
          <w:shd w:val="clear" w:color="auto" w:fill="FFFFFF"/>
        </w:rPr>
        <w:t>89,11</w:t>
      </w:r>
      <w:r w:rsidR="00BE08D6" w:rsidRPr="00A3168A">
        <w:rPr>
          <w:shd w:val="clear" w:color="auto" w:fill="FFFFFF"/>
        </w:rPr>
        <w:t xml:space="preserve"> </w:t>
      </w:r>
      <w:r w:rsidR="00124C07" w:rsidRPr="00A3168A">
        <w:rPr>
          <w:shd w:val="clear" w:color="auto" w:fill="FFFFFF"/>
        </w:rPr>
        <w:t xml:space="preserve">%. </w:t>
      </w:r>
      <w:r w:rsidR="00A76C71" w:rsidRPr="00A3168A">
        <w:rPr>
          <w:shd w:val="clear" w:color="auto" w:fill="FFFFFF"/>
        </w:rPr>
        <w:t>Kapitola Kancelária prezide</w:t>
      </w:r>
      <w:r w:rsidR="00726F9D" w:rsidRPr="00A3168A">
        <w:rPr>
          <w:shd w:val="clear" w:color="auto" w:fill="FFFFFF"/>
        </w:rPr>
        <w:t>nta v roku 2020</w:t>
      </w:r>
      <w:r w:rsidR="00A76C71" w:rsidRPr="00A3168A">
        <w:rPr>
          <w:shd w:val="clear" w:color="auto" w:fill="FFFFFF"/>
        </w:rPr>
        <w:t xml:space="preserve"> dodržiavala pri hospodárení s finančnými prostriedkami zásadu hospodárnosti, efektívnosti a účelnosti a riadila sa platnými predpismi upravujúcimi rozpočtové hospodárenie. </w:t>
      </w:r>
    </w:p>
    <w:p w14:paraId="50115279" w14:textId="77777777" w:rsidR="00D3346C" w:rsidRPr="00A3168A" w:rsidRDefault="00D3346C" w:rsidP="00E328AF">
      <w:pPr>
        <w:tabs>
          <w:tab w:val="center" w:pos="4536"/>
        </w:tabs>
        <w:jc w:val="both"/>
        <w:rPr>
          <w:shd w:val="clear" w:color="auto" w:fill="FFFFFF"/>
        </w:rPr>
      </w:pPr>
    </w:p>
    <w:p w14:paraId="24A3CFB9" w14:textId="0D7BEB2A" w:rsidR="004F302C" w:rsidRPr="00986F31" w:rsidRDefault="004F302C" w:rsidP="00776011">
      <w:pPr>
        <w:pStyle w:val="Nadpis2"/>
        <w:numPr>
          <w:ilvl w:val="1"/>
          <w:numId w:val="28"/>
        </w:numPr>
        <w:rPr>
          <w:rFonts w:ascii="Times New Roman" w:hAnsi="Times New Roman" w:cs="Times New Roman"/>
          <w:b/>
        </w:rPr>
      </w:pPr>
      <w:bookmarkStart w:id="6" w:name="_Toc71783115"/>
      <w:r w:rsidRPr="00986F31">
        <w:rPr>
          <w:rFonts w:ascii="Times New Roman" w:hAnsi="Times New Roman" w:cs="Times New Roman"/>
          <w:b/>
        </w:rPr>
        <w:t>P</w:t>
      </w:r>
      <w:r w:rsidR="00857560" w:rsidRPr="00986F31">
        <w:rPr>
          <w:rFonts w:ascii="Times New Roman" w:hAnsi="Times New Roman" w:cs="Times New Roman"/>
          <w:b/>
        </w:rPr>
        <w:t>ríjmy kapitoly</w:t>
      </w:r>
      <w:bookmarkEnd w:id="6"/>
    </w:p>
    <w:p w14:paraId="3B64ADB2" w14:textId="77777777" w:rsidR="00215890" w:rsidRPr="00A3168A" w:rsidRDefault="00215890" w:rsidP="004F302C">
      <w:pPr>
        <w:tabs>
          <w:tab w:val="center" w:pos="0"/>
        </w:tabs>
        <w:jc w:val="both"/>
      </w:pPr>
    </w:p>
    <w:p w14:paraId="20685610" w14:textId="3585591E" w:rsidR="001F7E43" w:rsidRPr="00A3168A" w:rsidRDefault="00776011" w:rsidP="00776011">
      <w:pPr>
        <w:pStyle w:val="Nadpis3"/>
        <w:numPr>
          <w:ilvl w:val="2"/>
          <w:numId w:val="28"/>
        </w:numPr>
        <w:rPr>
          <w:rFonts w:ascii="Times New Roman" w:hAnsi="Times New Roman" w:cs="Times New Roman"/>
          <w:shd w:val="clear" w:color="auto" w:fill="FFFFFF"/>
        </w:rPr>
      </w:pPr>
      <w:r w:rsidRPr="00A3168A">
        <w:rPr>
          <w:rFonts w:ascii="Times New Roman" w:hAnsi="Times New Roman" w:cs="Times New Roman"/>
          <w:shd w:val="clear" w:color="auto" w:fill="FFFFFF"/>
        </w:rPr>
        <w:t xml:space="preserve"> </w:t>
      </w:r>
      <w:bookmarkStart w:id="7" w:name="_Toc71783116"/>
      <w:r w:rsidR="004F302C" w:rsidRPr="00A3168A">
        <w:rPr>
          <w:rFonts w:ascii="Times New Roman" w:hAnsi="Times New Roman" w:cs="Times New Roman"/>
          <w:shd w:val="clear" w:color="auto" w:fill="FFFFFF"/>
        </w:rPr>
        <w:t>Príjmy kapitoly podľa ekonomickej klasifikácie</w:t>
      </w:r>
      <w:bookmarkEnd w:id="7"/>
      <w:r w:rsidR="004F302C" w:rsidRPr="00A3168A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5DBA79D4" w14:textId="77777777" w:rsidR="00682EE9" w:rsidRPr="00A3168A" w:rsidRDefault="00682EE9" w:rsidP="001F7E43">
      <w:pPr>
        <w:pStyle w:val="Odsekzoznamu"/>
        <w:tabs>
          <w:tab w:val="center" w:pos="4536"/>
        </w:tabs>
        <w:ind w:left="915"/>
        <w:jc w:val="both"/>
        <w:rPr>
          <w:b/>
          <w:shd w:val="clear" w:color="auto" w:fill="FFFFFF"/>
        </w:rPr>
      </w:pPr>
    </w:p>
    <w:p w14:paraId="55E0A7EF" w14:textId="5E80F415" w:rsidR="00A825D8" w:rsidRPr="00A3168A" w:rsidRDefault="000129FC" w:rsidP="00124C07">
      <w:pPr>
        <w:tabs>
          <w:tab w:val="left" w:pos="567"/>
        </w:tabs>
        <w:jc w:val="both"/>
      </w:pPr>
      <w:r w:rsidRPr="00A3168A">
        <w:rPr>
          <w:shd w:val="clear" w:color="auto" w:fill="FFFFFF"/>
        </w:rPr>
        <w:tab/>
        <w:t>Rozpisom záväzných ukazovate</w:t>
      </w:r>
      <w:r w:rsidR="00726F9D" w:rsidRPr="00A3168A">
        <w:rPr>
          <w:shd w:val="clear" w:color="auto" w:fill="FFFFFF"/>
        </w:rPr>
        <w:t>ľov štátneho rozpočtu na rok 2020</w:t>
      </w:r>
      <w:r w:rsidRPr="00A3168A">
        <w:rPr>
          <w:shd w:val="clear" w:color="auto" w:fill="FFFFFF"/>
        </w:rPr>
        <w:t xml:space="preserve"> mala kapitola Kancelária prezidenta rozpočtované príjm</w:t>
      </w:r>
      <w:r w:rsidR="00A76C71" w:rsidRPr="00A3168A">
        <w:rPr>
          <w:shd w:val="clear" w:color="auto" w:fill="FFFFFF"/>
        </w:rPr>
        <w:t>y vo výške 1</w:t>
      </w:r>
      <w:r w:rsidR="00726F9D" w:rsidRPr="00A3168A">
        <w:rPr>
          <w:shd w:val="clear" w:color="auto" w:fill="FFFFFF"/>
        </w:rPr>
        <w:t>0</w:t>
      </w:r>
      <w:r w:rsidR="00A76C71" w:rsidRPr="00A3168A">
        <w:rPr>
          <w:shd w:val="clear" w:color="auto" w:fill="FFFFFF"/>
        </w:rPr>
        <w:t> 000 eur</w:t>
      </w:r>
      <w:r w:rsidR="00805D65" w:rsidRPr="00A3168A">
        <w:rPr>
          <w:shd w:val="clear" w:color="auto" w:fill="FFFFFF"/>
        </w:rPr>
        <w:t>.</w:t>
      </w:r>
      <w:r w:rsidR="00A76C71" w:rsidRPr="00A3168A">
        <w:rPr>
          <w:shd w:val="clear" w:color="auto" w:fill="FFFFFF"/>
        </w:rPr>
        <w:t xml:space="preserve"> </w:t>
      </w:r>
      <w:r w:rsidR="004F302C" w:rsidRPr="00A3168A">
        <w:t xml:space="preserve">Skutočná výška príjmov dosiahla úroveň </w:t>
      </w:r>
      <w:r w:rsidR="001E7320" w:rsidRPr="00A3168A">
        <w:rPr>
          <w:b/>
        </w:rPr>
        <w:t>13 965,33</w:t>
      </w:r>
      <w:r w:rsidR="004F302C" w:rsidRPr="00A3168A">
        <w:t xml:space="preserve"> </w:t>
      </w:r>
      <w:r w:rsidR="004F302C" w:rsidRPr="00A3168A">
        <w:rPr>
          <w:b/>
        </w:rPr>
        <w:t>eur</w:t>
      </w:r>
      <w:r w:rsidR="004F302C" w:rsidRPr="00A3168A">
        <w:t>,</w:t>
      </w:r>
      <w:r w:rsidR="00805D65" w:rsidRPr="00A3168A">
        <w:t xml:space="preserve"> </w:t>
      </w:r>
      <w:r w:rsidR="004F302C" w:rsidRPr="00A3168A">
        <w:t xml:space="preserve">čo predstavuje plnenie na </w:t>
      </w:r>
      <w:r w:rsidR="001E7320" w:rsidRPr="00A3168A">
        <w:t>139,65</w:t>
      </w:r>
      <w:r w:rsidR="00524D8C" w:rsidRPr="00A3168A">
        <w:t xml:space="preserve"> </w:t>
      </w:r>
      <w:r w:rsidR="004F302C" w:rsidRPr="00A3168A">
        <w:t xml:space="preserve">% oproti </w:t>
      </w:r>
      <w:r w:rsidR="009E285A" w:rsidRPr="00A3168A">
        <w:t xml:space="preserve">schválenému a </w:t>
      </w:r>
      <w:r w:rsidR="00141AF9" w:rsidRPr="00A3168A">
        <w:t>upravenému rozpočtu viď</w:t>
      </w:r>
      <w:r w:rsidR="007217D8">
        <w:t>.</w:t>
      </w:r>
      <w:r w:rsidR="00141AF9" w:rsidRPr="00A3168A">
        <w:t xml:space="preserve"> tabuľka.</w:t>
      </w:r>
      <w:r w:rsidR="001E7320" w:rsidRPr="00A3168A">
        <w:t xml:space="preserve"> V</w:t>
      </w:r>
      <w:r w:rsidR="00D3346C" w:rsidRPr="00A3168A">
        <w:t> </w:t>
      </w:r>
      <w:r w:rsidR="001E7320" w:rsidRPr="00A3168A">
        <w:t>zmysle</w:t>
      </w:r>
      <w:r w:rsidR="00D3346C" w:rsidRPr="00A3168A">
        <w:t xml:space="preserve"> limitu</w:t>
      </w:r>
      <w:r w:rsidR="001E7320" w:rsidRPr="00A3168A">
        <w:t xml:space="preserve"> § 17 ods. 4 zákona </w:t>
      </w:r>
      <w:r w:rsidR="00131148">
        <w:t xml:space="preserve">č. </w:t>
      </w:r>
      <w:r w:rsidR="001E7320" w:rsidRPr="00A3168A">
        <w:t>523/2004 Z.</w:t>
      </w:r>
      <w:r w:rsidR="004C7411" w:rsidRPr="00A3168A">
        <w:t xml:space="preserve"> </w:t>
      </w:r>
      <w:r w:rsidR="001E7320" w:rsidRPr="00A3168A">
        <w:t xml:space="preserve">z. </w:t>
      </w:r>
      <w:r w:rsidR="00B14878" w:rsidRPr="00A3168A">
        <w:t>vo výške 15 000</w:t>
      </w:r>
      <w:r w:rsidR="001E7320" w:rsidRPr="00A3168A">
        <w:t xml:space="preserve"> eur, čo predstavuje plnenie na 93,10 %</w:t>
      </w:r>
      <w:r w:rsidR="00B14878" w:rsidRPr="00A3168A">
        <w:t xml:space="preserve"> z toho záväzný ukazovateľ vo výške 10 000 eur</w:t>
      </w:r>
      <w:r w:rsidR="001E7320" w:rsidRPr="00A3168A">
        <w:t xml:space="preserve">. </w:t>
      </w:r>
    </w:p>
    <w:p w14:paraId="26976793" w14:textId="21AF3150" w:rsidR="009D4AF8" w:rsidRPr="00A3168A" w:rsidRDefault="00A825D8" w:rsidP="00CF6526">
      <w:pPr>
        <w:tabs>
          <w:tab w:val="center" w:pos="0"/>
          <w:tab w:val="left" w:pos="567"/>
        </w:tabs>
        <w:jc w:val="both"/>
      </w:pPr>
      <w:r w:rsidRPr="00A3168A">
        <w:t xml:space="preserve">        </w:t>
      </w:r>
      <w:r w:rsidR="00C723CF" w:rsidRPr="00A3168A">
        <w:t xml:space="preserve"> </w:t>
      </w:r>
      <w:r w:rsidR="00526F8D">
        <w:t>Ide</w:t>
      </w:r>
      <w:r w:rsidR="00C723CF" w:rsidRPr="00A3168A">
        <w:t xml:space="preserve"> výlučne o</w:t>
      </w:r>
      <w:r w:rsidR="00661F7B" w:rsidRPr="00A3168A">
        <w:t xml:space="preserve"> nedaňové </w:t>
      </w:r>
      <w:r w:rsidR="009D6E69" w:rsidRPr="00A3168A">
        <w:t>náhodné príjmy (</w:t>
      </w:r>
      <w:r w:rsidR="00C723CF" w:rsidRPr="00A3168A">
        <w:t>napr. vrátené dobropisy z predchádzajúceho roka</w:t>
      </w:r>
      <w:r w:rsidR="00661F7B" w:rsidRPr="00A3168A">
        <w:t>,</w:t>
      </w:r>
      <w:r w:rsidR="009626DD" w:rsidRPr="00A3168A">
        <w:t xml:space="preserve"> </w:t>
      </w:r>
      <w:r w:rsidR="00456D0D" w:rsidRPr="00A3168A">
        <w:t>refundácia nákladov kotolne,</w:t>
      </w:r>
      <w:r w:rsidR="009626DD" w:rsidRPr="00A3168A">
        <w:t xml:space="preserve"> </w:t>
      </w:r>
      <w:r w:rsidR="00D5235E" w:rsidRPr="00A3168A">
        <w:t>náhodné príjmy za ubytovanie v účelovom zariadení v </w:t>
      </w:r>
      <w:r w:rsidRPr="00A3168A">
        <w:t>T</w:t>
      </w:r>
      <w:r w:rsidR="007353E3" w:rsidRPr="00A3168A">
        <w:t>atranskej Javorine</w:t>
      </w:r>
      <w:r w:rsidR="0087596A" w:rsidRPr="00A3168A">
        <w:t>, z vratiek</w:t>
      </w:r>
      <w:r w:rsidRPr="00A3168A">
        <w:t>)</w:t>
      </w:r>
      <w:r w:rsidR="0024085A" w:rsidRPr="00A3168A">
        <w:t>,</w:t>
      </w:r>
      <w:r w:rsidR="00C723CF" w:rsidRPr="00A3168A">
        <w:t xml:space="preserve"> ktorých </w:t>
      </w:r>
      <w:r w:rsidR="00DF3A6E" w:rsidRPr="00A3168A">
        <w:t xml:space="preserve">plnenie vopred </w:t>
      </w:r>
      <w:r w:rsidR="009D6E69" w:rsidRPr="00A3168A">
        <w:t xml:space="preserve">nie je možné </w:t>
      </w:r>
      <w:r w:rsidR="00DF3A6E" w:rsidRPr="00A3168A">
        <w:t>predpokladať</w:t>
      </w:r>
      <w:r w:rsidR="00C723CF" w:rsidRPr="00A3168A">
        <w:t>.</w:t>
      </w:r>
      <w:r w:rsidR="00F32739" w:rsidRPr="00A3168A">
        <w:t xml:space="preserve"> </w:t>
      </w:r>
    </w:p>
    <w:p w14:paraId="0C782D39" w14:textId="0B63D730" w:rsidR="004F302C" w:rsidRPr="00A3168A" w:rsidRDefault="00F01C9D" w:rsidP="00CF6526">
      <w:pPr>
        <w:tabs>
          <w:tab w:val="center" w:pos="0"/>
          <w:tab w:val="left" w:pos="567"/>
        </w:tabs>
        <w:jc w:val="both"/>
      </w:pPr>
      <w:r w:rsidRPr="00A3168A">
        <w:tab/>
      </w:r>
      <w:r w:rsidR="00726F9D" w:rsidRPr="00A3168A">
        <w:t>Kancelária prezidenta v roku 2020</w:t>
      </w:r>
      <w:r w:rsidR="004F302C" w:rsidRPr="00A3168A">
        <w:t xml:space="preserve"> neprijala žiadne doplnkové a mimorozpočtové príjmy.</w:t>
      </w:r>
    </w:p>
    <w:p w14:paraId="796B9861" w14:textId="77777777" w:rsidR="000256E4" w:rsidRPr="00A3168A" w:rsidRDefault="000256E4" w:rsidP="00CF6526">
      <w:pPr>
        <w:tabs>
          <w:tab w:val="center" w:pos="0"/>
          <w:tab w:val="left" w:pos="567"/>
        </w:tabs>
        <w:jc w:val="both"/>
      </w:pPr>
    </w:p>
    <w:p w14:paraId="3563922D" w14:textId="77777777" w:rsidR="007353E3" w:rsidRPr="00A3168A" w:rsidRDefault="004F302C" w:rsidP="004F302C">
      <w:pPr>
        <w:tabs>
          <w:tab w:val="center" w:pos="0"/>
        </w:tabs>
        <w:jc w:val="both"/>
      </w:pPr>
      <w:r w:rsidRPr="00874698">
        <w:t>Štruktúra príjmov podľa ekonomickej klasifikácie</w:t>
      </w:r>
      <w:r w:rsidRPr="00A3168A">
        <w:t xml:space="preserve">:   </w:t>
      </w:r>
    </w:p>
    <w:p w14:paraId="2C1C2114" w14:textId="3FF092B8" w:rsidR="00007925" w:rsidRPr="00A3168A" w:rsidRDefault="004F302C" w:rsidP="00D47587">
      <w:pPr>
        <w:tabs>
          <w:tab w:val="center" w:pos="0"/>
        </w:tabs>
        <w:jc w:val="right"/>
        <w:rPr>
          <w:i/>
          <w:shd w:val="clear" w:color="auto" w:fill="FFFFFF"/>
        </w:rPr>
      </w:pPr>
      <w:r w:rsidRPr="00A3168A">
        <w:t xml:space="preserve">                                                                                                                                   </w:t>
      </w:r>
      <w:r w:rsidR="007353E3" w:rsidRPr="00A3168A">
        <w:t xml:space="preserve">    </w:t>
      </w:r>
      <w:r w:rsidR="00124C07" w:rsidRPr="00A3168A">
        <w:t xml:space="preserve">   </w:t>
      </w:r>
      <w:r w:rsidR="007353E3" w:rsidRPr="00A3168A">
        <w:t xml:space="preserve"> </w:t>
      </w:r>
      <w:r w:rsidRPr="00A3168A">
        <w:rPr>
          <w:i/>
        </w:rPr>
        <w:t>v</w:t>
      </w:r>
      <w:r w:rsidR="008743FC" w:rsidRPr="00A3168A">
        <w:rPr>
          <w:i/>
        </w:rPr>
        <w:t> </w:t>
      </w:r>
      <w:r w:rsidRPr="00A3168A">
        <w:rPr>
          <w:i/>
        </w:rPr>
        <w:t>eurách</w:t>
      </w:r>
    </w:p>
    <w:tbl>
      <w:tblPr>
        <w:tblW w:w="0" w:type="auto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420"/>
        <w:gridCol w:w="1253"/>
        <w:gridCol w:w="1196"/>
        <w:gridCol w:w="1319"/>
        <w:gridCol w:w="901"/>
      </w:tblGrid>
      <w:tr w:rsidR="00DD24C5" w:rsidRPr="004A042D" w14:paraId="5E302B8D" w14:textId="77777777" w:rsidTr="00D9087F">
        <w:trPr>
          <w:trHeight w:val="765"/>
        </w:trPr>
        <w:tc>
          <w:tcPr>
            <w:tcW w:w="32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1043BF" w14:textId="77777777" w:rsidR="00DD24C5" w:rsidRPr="004A042D" w:rsidRDefault="00DD24C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A042D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03C091" w14:textId="77777777" w:rsidR="00DD24C5" w:rsidRPr="004A042D" w:rsidRDefault="00DD24C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Skutočnosť 2019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F4DC6" w14:textId="77777777" w:rsidR="00DD24C5" w:rsidRPr="004A042D" w:rsidRDefault="00DD24C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Schválený rozpočet 2020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576944" w14:textId="77777777" w:rsidR="00DD24C5" w:rsidRPr="004A042D" w:rsidRDefault="00DD24C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Upravený rozpočet 2020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E225B" w14:textId="77777777" w:rsidR="00DD24C5" w:rsidRPr="004A042D" w:rsidRDefault="00DD24C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Skutočnosť 2020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28E6F0" w14:textId="77777777" w:rsidR="00DD24C5" w:rsidRPr="004A042D" w:rsidRDefault="00DD24C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% plnenia</w:t>
            </w:r>
          </w:p>
        </w:tc>
      </w:tr>
      <w:tr w:rsidR="00DD24C5" w:rsidRPr="004A042D" w14:paraId="41EBC28C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39A0F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A297D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I.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5396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II.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DA8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III.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598C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IV.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DF639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IV./III.</w:t>
            </w:r>
          </w:p>
        </w:tc>
      </w:tr>
      <w:tr w:rsidR="00DD24C5" w:rsidRPr="004A042D" w14:paraId="355056E4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4689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Rozpočtové príjmy spolu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A8CD" w14:textId="77777777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19 375,24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6856" w14:textId="62DCF453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15</w:t>
            </w:r>
            <w:r w:rsidR="00855B6D" w:rsidRPr="004A042D">
              <w:rPr>
                <w:b/>
                <w:bCs/>
                <w:color w:val="000000"/>
              </w:rPr>
              <w:t> </w:t>
            </w:r>
            <w:r w:rsidRPr="004A042D">
              <w:rPr>
                <w:b/>
                <w:bCs/>
                <w:color w:val="000000"/>
              </w:rPr>
              <w:t>000</w:t>
            </w:r>
            <w:r w:rsidR="00855B6D" w:rsidRPr="004A042D">
              <w:rPr>
                <w:b/>
                <w:bCs/>
                <w:color w:val="000000"/>
              </w:rPr>
              <w:t>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7700" w14:textId="7347A040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15</w:t>
            </w:r>
            <w:r w:rsidR="00855B6D" w:rsidRPr="004A042D">
              <w:rPr>
                <w:b/>
                <w:bCs/>
                <w:color w:val="000000"/>
              </w:rPr>
              <w:t> </w:t>
            </w:r>
            <w:r w:rsidRPr="004A042D">
              <w:rPr>
                <w:b/>
                <w:bCs/>
                <w:color w:val="000000"/>
              </w:rPr>
              <w:t>000</w:t>
            </w:r>
            <w:r w:rsidR="00855B6D" w:rsidRPr="004A042D">
              <w:rPr>
                <w:b/>
                <w:bCs/>
                <w:color w:val="000000"/>
              </w:rPr>
              <w:t>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E09D" w14:textId="77777777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13 965,33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6C7EB" w14:textId="77777777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93,10</w:t>
            </w:r>
          </w:p>
        </w:tc>
      </w:tr>
      <w:tr w:rsidR="00DD24C5" w:rsidRPr="004A042D" w14:paraId="75A3724B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3E78" w14:textId="176B6AEE" w:rsidR="00DD24C5" w:rsidRPr="004A042D" w:rsidRDefault="00D3346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 xml:space="preserve">V tom </w:t>
            </w:r>
            <w:r w:rsidR="00DD24C5" w:rsidRPr="004A042D">
              <w:rPr>
                <w:b/>
                <w:bCs/>
                <w:color w:val="000000"/>
              </w:rPr>
              <w:t>príjmy podľa §17 ods 4.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7309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FA42" w14:textId="56976862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5</w:t>
            </w:r>
            <w:r w:rsidR="00855B6D" w:rsidRPr="004A042D">
              <w:rPr>
                <w:b/>
                <w:bCs/>
                <w:color w:val="000000"/>
              </w:rPr>
              <w:t> </w:t>
            </w:r>
            <w:r w:rsidRPr="004A042D">
              <w:rPr>
                <w:b/>
                <w:bCs/>
                <w:color w:val="000000"/>
              </w:rPr>
              <w:t>000</w:t>
            </w:r>
            <w:r w:rsidR="00855B6D" w:rsidRPr="004A042D">
              <w:rPr>
                <w:b/>
                <w:bCs/>
                <w:color w:val="000000"/>
              </w:rPr>
              <w:t>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9595" w14:textId="0D70326D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5</w:t>
            </w:r>
            <w:r w:rsidR="00855B6D" w:rsidRPr="004A042D">
              <w:rPr>
                <w:b/>
                <w:bCs/>
                <w:color w:val="000000"/>
              </w:rPr>
              <w:t> </w:t>
            </w:r>
            <w:r w:rsidRPr="004A042D">
              <w:rPr>
                <w:b/>
                <w:bCs/>
                <w:color w:val="000000"/>
              </w:rPr>
              <w:t>000</w:t>
            </w:r>
            <w:r w:rsidR="00855B6D" w:rsidRPr="004A042D">
              <w:rPr>
                <w:b/>
                <w:bCs/>
                <w:color w:val="000000"/>
              </w:rPr>
              <w:t>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6CA5" w14:textId="77777777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49E8D" w14:textId="77777777" w:rsidR="00DD24C5" w:rsidRPr="004A042D" w:rsidRDefault="00DD24C5">
            <w:pPr>
              <w:jc w:val="right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0,00</w:t>
            </w:r>
          </w:p>
        </w:tc>
      </w:tr>
      <w:tr w:rsidR="00DD24C5" w:rsidRPr="004A042D" w14:paraId="2524BCDB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496D1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z toho: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953D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F94F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35B8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D4F2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208D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 </w:t>
            </w:r>
          </w:p>
        </w:tc>
      </w:tr>
      <w:tr w:rsidR="00DD24C5" w:rsidRPr="004A042D" w14:paraId="7C91FA58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EC50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212 - príjmy z vlastníctva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8DE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E224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E6295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68D05C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E3848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086D4E6D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DFA28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222 - pokuty, penále a iné sankcie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917E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8 500,00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47B1F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420E9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F83E1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32488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432FB06B" w14:textId="77777777" w:rsidTr="00D9087F">
        <w:trPr>
          <w:trHeight w:val="315"/>
        </w:trPr>
        <w:tc>
          <w:tcPr>
            <w:tcW w:w="32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56FB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223 - príjmy z predaja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BB8B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6 134,50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E8D9B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B1913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DB65C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5 219,50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B3B2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03D0C80C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E346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lastRenderedPageBreak/>
              <w:t>231 - príjmy z predaja kapitálových aktív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A536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C59B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DC5F8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7BE8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E51B1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</w:tr>
      <w:tr w:rsidR="00DD24C5" w:rsidRPr="004A042D" w14:paraId="7768C00D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388A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243 - príjmy z úrokov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1192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C0F96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EEFF2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E7D389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AE039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76CBABE7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9F4C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292 - ostatné príjmy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E1B9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4 740,74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B827A" w14:textId="7DA8F60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93700" w14:textId="01F3F738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FA2B5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8 565,83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2044C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498DE7AE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EA404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v tom: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72B42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835BEA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6A1126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20C36F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650FE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</w:tr>
      <w:tr w:rsidR="00DD24C5" w:rsidRPr="004A042D" w14:paraId="453479B4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DC05" w14:textId="6397A5C2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292 006 - z náhrad z poist.</w:t>
            </w:r>
            <w:r w:rsidR="00526F8D" w:rsidRPr="004A042D">
              <w:rPr>
                <w:b/>
                <w:bCs/>
                <w:color w:val="000000"/>
              </w:rPr>
              <w:t xml:space="preserve"> </w:t>
            </w:r>
            <w:r w:rsidRPr="004A042D">
              <w:rPr>
                <w:b/>
                <w:bCs/>
                <w:color w:val="000000"/>
              </w:rPr>
              <w:t>plnenia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958B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107,64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B44A" w14:textId="776AC376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900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3699" w14:textId="4AA99B8C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900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B82DF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3 298,11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85F14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5781618E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B68D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292 012 - z dobropisov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EFA1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3 718,07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B401" w14:textId="1264CB71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5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100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4CE7" w14:textId="3E88DD92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5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100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DF8C9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3 226,29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DF9B4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  <w:tr w:rsidR="00DD24C5" w:rsidRPr="004A042D" w14:paraId="1807B643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6565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292 017 - z vratiek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A13F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414,09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A14A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5E97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57E00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760,62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FBA37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</w:tr>
      <w:tr w:rsidR="00DD24C5" w:rsidRPr="004A042D" w14:paraId="6DC6C21B" w14:textId="77777777" w:rsidTr="00D9087F">
        <w:trPr>
          <w:trHeight w:val="315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D97D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292 019 - z refundácie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969C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0,00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9E70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F844" w14:textId="77777777" w:rsidR="00DD24C5" w:rsidRPr="004A042D" w:rsidRDefault="00DD24C5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C30C7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990,41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827AC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</w:tr>
      <w:tr w:rsidR="00DD24C5" w:rsidRPr="004A042D" w14:paraId="66FC7CF2" w14:textId="77777777" w:rsidTr="00D9087F">
        <w:trPr>
          <w:trHeight w:val="330"/>
        </w:trPr>
        <w:tc>
          <w:tcPr>
            <w:tcW w:w="32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70BA" w14:textId="77777777" w:rsidR="00DD24C5" w:rsidRPr="004A042D" w:rsidRDefault="00DD24C5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292 027 - iné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9791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500,94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9633A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81D5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1B972" w14:textId="77777777" w:rsidR="00DD24C5" w:rsidRPr="004A042D" w:rsidRDefault="00DD24C5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290,40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427ED" w14:textId="77777777" w:rsidR="00DD24C5" w:rsidRPr="004A042D" w:rsidRDefault="00DD24C5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x</w:t>
            </w:r>
          </w:p>
        </w:tc>
      </w:tr>
    </w:tbl>
    <w:p w14:paraId="64973061" w14:textId="62CB2A76" w:rsidR="00CF217C" w:rsidRPr="00A3168A" w:rsidRDefault="00CF217C" w:rsidP="00D3346C">
      <w:pPr>
        <w:tabs>
          <w:tab w:val="center" w:pos="4536"/>
        </w:tabs>
        <w:jc w:val="both"/>
        <w:rPr>
          <w:shd w:val="clear" w:color="auto" w:fill="FFFFFF"/>
        </w:rPr>
      </w:pPr>
    </w:p>
    <w:p w14:paraId="4C08C735" w14:textId="5A28805F" w:rsidR="004F302C" w:rsidRPr="00A3168A" w:rsidRDefault="004F302C" w:rsidP="00776011">
      <w:pPr>
        <w:pStyle w:val="Nadpis3"/>
        <w:numPr>
          <w:ilvl w:val="2"/>
          <w:numId w:val="28"/>
        </w:numPr>
        <w:rPr>
          <w:rFonts w:ascii="Times New Roman" w:hAnsi="Times New Roman" w:cs="Times New Roman"/>
          <w:shd w:val="clear" w:color="auto" w:fill="FFFFFF"/>
        </w:rPr>
      </w:pPr>
      <w:bookmarkStart w:id="8" w:name="_Toc71783117"/>
      <w:r w:rsidRPr="00A3168A">
        <w:rPr>
          <w:rFonts w:ascii="Times New Roman" w:hAnsi="Times New Roman" w:cs="Times New Roman"/>
          <w:shd w:val="clear" w:color="auto" w:fill="FFFFFF"/>
        </w:rPr>
        <w:t>P</w:t>
      </w:r>
      <w:r w:rsidR="005B06B0" w:rsidRPr="00A3168A">
        <w:rPr>
          <w:rFonts w:ascii="Times New Roman" w:hAnsi="Times New Roman" w:cs="Times New Roman"/>
          <w:shd w:val="clear" w:color="auto" w:fill="FFFFFF"/>
        </w:rPr>
        <w:t>rostriedky prijaté z rozpočtu Európskej únie</w:t>
      </w:r>
      <w:r w:rsidR="0021102E" w:rsidRPr="00A3168A">
        <w:rPr>
          <w:rFonts w:ascii="Times New Roman" w:hAnsi="Times New Roman" w:cs="Times New Roman"/>
          <w:shd w:val="clear" w:color="auto" w:fill="FFFFFF"/>
        </w:rPr>
        <w:t xml:space="preserve"> a iné prostriedky zo zahraničia poskytnuté Slovenskej republike na základe medzinárodných zmlúv uzavretých medzi Slovenskou republikou a inými štátmi</w:t>
      </w:r>
      <w:bookmarkEnd w:id="8"/>
    </w:p>
    <w:p w14:paraId="07CF295A" w14:textId="77777777" w:rsidR="00FE0A12" w:rsidRPr="00A3168A" w:rsidRDefault="00FE0A12" w:rsidP="00FE0A12">
      <w:pPr>
        <w:pStyle w:val="Odsekzoznamu"/>
        <w:tabs>
          <w:tab w:val="center" w:pos="4536"/>
        </w:tabs>
        <w:ind w:left="915"/>
        <w:jc w:val="both"/>
        <w:rPr>
          <w:shd w:val="clear" w:color="auto" w:fill="FFFFFF"/>
        </w:rPr>
      </w:pPr>
    </w:p>
    <w:p w14:paraId="0354EB9F" w14:textId="6B5DFAF9" w:rsidR="00234EB0" w:rsidRPr="00A3168A" w:rsidRDefault="004F302C" w:rsidP="004F302C">
      <w:pPr>
        <w:tabs>
          <w:tab w:val="center" w:pos="0"/>
          <w:tab w:val="left" w:pos="567"/>
        </w:tabs>
        <w:jc w:val="both"/>
      </w:pPr>
      <w:r w:rsidRPr="00A3168A">
        <w:rPr>
          <w:shd w:val="clear" w:color="auto" w:fill="FFFFFF"/>
        </w:rPr>
        <w:tab/>
      </w:r>
      <w:r w:rsidRPr="00A3168A">
        <w:t>Kancelária prezidenta neprijala žiadne prostriedky z rozpočtu Európskej únie, ani iné prostriedky zo zahraničia poskytnuté Slovenskej republike na základe medzinárodných zmlúv uzavretých medzi Slovenskou republikou a inými štátmi.</w:t>
      </w:r>
    </w:p>
    <w:p w14:paraId="6BDFEE2D" w14:textId="77777777" w:rsidR="004B677C" w:rsidRPr="00A3168A" w:rsidRDefault="004B677C" w:rsidP="004F302C">
      <w:pPr>
        <w:tabs>
          <w:tab w:val="center" w:pos="0"/>
          <w:tab w:val="left" w:pos="567"/>
        </w:tabs>
        <w:jc w:val="both"/>
      </w:pPr>
    </w:p>
    <w:p w14:paraId="08C13621" w14:textId="77777777" w:rsidR="00740BE4" w:rsidRPr="00A3168A" w:rsidRDefault="00740BE4" w:rsidP="00041256">
      <w:pPr>
        <w:pStyle w:val="Nadpis3"/>
        <w:numPr>
          <w:ilvl w:val="0"/>
          <w:numId w:val="0"/>
        </w:numPr>
        <w:ind w:left="720" w:hanging="720"/>
        <w:rPr>
          <w:rFonts w:ascii="Times New Roman" w:hAnsi="Times New Roman" w:cs="Times New Roman"/>
        </w:rPr>
      </w:pPr>
      <w:bookmarkStart w:id="9" w:name="_Toc71783118"/>
      <w:r w:rsidRPr="00A3168A">
        <w:rPr>
          <w:rFonts w:ascii="Times New Roman" w:hAnsi="Times New Roman" w:cs="Times New Roman"/>
        </w:rPr>
        <w:t xml:space="preserve">1.2.3. </w:t>
      </w:r>
      <w:r w:rsidR="007E26F8" w:rsidRPr="00A3168A">
        <w:rPr>
          <w:rFonts w:ascii="Times New Roman" w:hAnsi="Times New Roman" w:cs="Times New Roman"/>
        </w:rPr>
        <w:t>Úpravy schváleného rozpočtu príjmov v priebehu roka</w:t>
      </w:r>
      <w:bookmarkEnd w:id="9"/>
    </w:p>
    <w:p w14:paraId="77464B41" w14:textId="77777777" w:rsidR="00740BE4" w:rsidRPr="00A3168A" w:rsidRDefault="001D4CC1" w:rsidP="001D4CC1">
      <w:pPr>
        <w:tabs>
          <w:tab w:val="center" w:pos="0"/>
          <w:tab w:val="left" w:pos="567"/>
        </w:tabs>
        <w:jc w:val="both"/>
      </w:pPr>
      <w:r w:rsidRPr="00A3168A">
        <w:tab/>
      </w:r>
    </w:p>
    <w:p w14:paraId="612FB7AF" w14:textId="473B58CE" w:rsidR="007B0DBC" w:rsidRPr="00A3168A" w:rsidRDefault="001E7320" w:rsidP="001D4CC1">
      <w:pPr>
        <w:tabs>
          <w:tab w:val="center" w:pos="0"/>
          <w:tab w:val="left" w:pos="567"/>
        </w:tabs>
        <w:jc w:val="both"/>
      </w:pPr>
      <w:r w:rsidRPr="00A3168A">
        <w:tab/>
        <w:t>V rozpočtovom roku 2020</w:t>
      </w:r>
      <w:r w:rsidR="001D4CC1" w:rsidRPr="00A3168A">
        <w:t xml:space="preserve"> nebolo vykonané</w:t>
      </w:r>
      <w:r w:rsidR="00DB7B50" w:rsidRPr="00A3168A">
        <w:t xml:space="preserve"> žiadne</w:t>
      </w:r>
      <w:r w:rsidR="001D4CC1" w:rsidRPr="00A3168A">
        <w:t xml:space="preserve"> rozpočtové opatrenie</w:t>
      </w:r>
      <w:r w:rsidR="00DB7B50" w:rsidRPr="00A3168A">
        <w:t xml:space="preserve">, na </w:t>
      </w:r>
      <w:r w:rsidR="001D4CC1" w:rsidRPr="00A3168A">
        <w:t>základe ktorého by bol upravený záväzný ukazovateľ príjmov kapitoly Kancelárie prezidenta</w:t>
      </w:r>
      <w:r w:rsidR="00DB7B50" w:rsidRPr="00A3168A">
        <w:t xml:space="preserve"> a z toho dôvodu zostal v schválenej</w:t>
      </w:r>
      <w:r w:rsidR="001D4CC1" w:rsidRPr="00A3168A">
        <w:t xml:space="preserve"> výške 1</w:t>
      </w:r>
      <w:r w:rsidR="00007925" w:rsidRPr="00A3168A">
        <w:t>0</w:t>
      </w:r>
      <w:r w:rsidR="001D4CC1" w:rsidRPr="00A3168A">
        <w:t> 000 eur.</w:t>
      </w:r>
    </w:p>
    <w:p w14:paraId="1DB68FC3" w14:textId="77777777" w:rsidR="002E20A4" w:rsidRPr="00A3168A" w:rsidRDefault="002E20A4" w:rsidP="001D4CC1">
      <w:pPr>
        <w:tabs>
          <w:tab w:val="center" w:pos="0"/>
          <w:tab w:val="left" w:pos="567"/>
        </w:tabs>
        <w:jc w:val="both"/>
      </w:pPr>
    </w:p>
    <w:p w14:paraId="261A9602" w14:textId="04D5C237" w:rsidR="004F302C" w:rsidRPr="00986F31" w:rsidRDefault="004F302C" w:rsidP="00131148">
      <w:pPr>
        <w:pStyle w:val="Nadpis2"/>
        <w:numPr>
          <w:ilvl w:val="1"/>
          <w:numId w:val="28"/>
        </w:numPr>
        <w:ind w:left="567" w:hanging="567"/>
        <w:rPr>
          <w:rFonts w:ascii="Times New Roman" w:hAnsi="Times New Roman" w:cs="Times New Roman"/>
          <w:b/>
        </w:rPr>
      </w:pPr>
      <w:bookmarkStart w:id="10" w:name="_Toc71783119"/>
      <w:r w:rsidRPr="00986F31">
        <w:rPr>
          <w:rFonts w:ascii="Times New Roman" w:hAnsi="Times New Roman" w:cs="Times New Roman"/>
          <w:b/>
        </w:rPr>
        <w:t>V</w:t>
      </w:r>
      <w:r w:rsidR="00857560" w:rsidRPr="00986F31">
        <w:rPr>
          <w:rFonts w:ascii="Times New Roman" w:hAnsi="Times New Roman" w:cs="Times New Roman"/>
          <w:b/>
        </w:rPr>
        <w:t>ýdavky kapitoly</w:t>
      </w:r>
      <w:bookmarkEnd w:id="10"/>
    </w:p>
    <w:p w14:paraId="64F99CD9" w14:textId="77777777" w:rsidR="00740BE4" w:rsidRPr="00A3168A" w:rsidRDefault="00740BE4" w:rsidP="00740BE4">
      <w:pPr>
        <w:tabs>
          <w:tab w:val="center" w:pos="0"/>
        </w:tabs>
        <w:jc w:val="both"/>
        <w:rPr>
          <w:b/>
        </w:rPr>
      </w:pPr>
    </w:p>
    <w:p w14:paraId="57030DAB" w14:textId="2B0B5687" w:rsidR="00BF7B6B" w:rsidRPr="00A3168A" w:rsidRDefault="008D3612" w:rsidP="00FE0A12">
      <w:pPr>
        <w:tabs>
          <w:tab w:val="center" w:pos="0"/>
        </w:tabs>
        <w:ind w:firstLine="567"/>
        <w:jc w:val="both"/>
      </w:pPr>
      <w:r w:rsidRPr="00A3168A">
        <w:t>Čerpanie výdavkov v členení na bežné</w:t>
      </w:r>
      <w:r w:rsidR="005F64A2" w:rsidRPr="00A3168A">
        <w:t xml:space="preserve"> a kapitálové výdavky v roku 2020</w:t>
      </w:r>
      <w:r w:rsidRPr="00A3168A">
        <w:t xml:space="preserve"> bolo nasledovné: </w:t>
      </w:r>
    </w:p>
    <w:p w14:paraId="6D0347CA" w14:textId="77777777" w:rsidR="00CF217C" w:rsidRPr="00A3168A" w:rsidRDefault="00CF217C" w:rsidP="00FE0A12">
      <w:pPr>
        <w:tabs>
          <w:tab w:val="center" w:pos="0"/>
        </w:tabs>
        <w:ind w:firstLine="567"/>
        <w:jc w:val="both"/>
      </w:pPr>
    </w:p>
    <w:tbl>
      <w:tblPr>
        <w:tblW w:w="93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2"/>
        <w:gridCol w:w="1600"/>
        <w:gridCol w:w="1755"/>
        <w:gridCol w:w="1674"/>
        <w:gridCol w:w="1674"/>
      </w:tblGrid>
      <w:tr w:rsidR="007625AE" w:rsidRPr="00A3168A" w14:paraId="66A3228E" w14:textId="77777777" w:rsidTr="00423942">
        <w:trPr>
          <w:trHeight w:val="293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CD8C3" w14:textId="77777777" w:rsidR="00456BA7" w:rsidRPr="00A3168A" w:rsidRDefault="00456BA7">
            <w:pPr>
              <w:rPr>
                <w:szCs w:val="20"/>
                <w:lang w:eastAsia="sk-SK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7F10" w14:textId="77777777" w:rsidR="00456BA7" w:rsidRPr="00A3168A" w:rsidRDefault="00456BA7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7AEE" w14:textId="77777777" w:rsidR="00456BA7" w:rsidRPr="00A3168A" w:rsidRDefault="00456BA7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7C871" w14:textId="77777777" w:rsidR="00456BA7" w:rsidRPr="00A3168A" w:rsidRDefault="00456BA7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5191" w14:textId="77777777" w:rsidR="00456BA7" w:rsidRPr="00A3168A" w:rsidRDefault="00456BA7">
            <w:pPr>
              <w:jc w:val="right"/>
              <w:rPr>
                <w:i/>
                <w:color w:val="000000"/>
              </w:rPr>
            </w:pPr>
            <w:r w:rsidRPr="00A3168A">
              <w:rPr>
                <w:color w:val="000000"/>
              </w:rPr>
              <w:t xml:space="preserve"> </w:t>
            </w:r>
            <w:r w:rsidRPr="00A3168A">
              <w:rPr>
                <w:i/>
                <w:color w:val="000000"/>
              </w:rPr>
              <w:t>v eurách</w:t>
            </w:r>
          </w:p>
        </w:tc>
      </w:tr>
      <w:tr w:rsidR="00456BA7" w:rsidRPr="00A3168A" w14:paraId="5B456DD1" w14:textId="77777777" w:rsidTr="007625AE">
        <w:trPr>
          <w:trHeight w:val="279"/>
        </w:trPr>
        <w:tc>
          <w:tcPr>
            <w:tcW w:w="2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9D98" w14:textId="77777777" w:rsidR="00456BA7" w:rsidRPr="00A3168A" w:rsidRDefault="00456BA7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33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9B4B" w14:textId="5B477BB0" w:rsidR="00456BA7" w:rsidRPr="00A3168A" w:rsidRDefault="005F64A2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Rozpočet 2020</w:t>
            </w:r>
          </w:p>
        </w:tc>
        <w:tc>
          <w:tcPr>
            <w:tcW w:w="16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C99" w14:textId="61F58846" w:rsidR="00456BA7" w:rsidRPr="00A3168A" w:rsidRDefault="005F64A2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Skutočnosť 2020</w:t>
            </w:r>
          </w:p>
        </w:tc>
        <w:tc>
          <w:tcPr>
            <w:tcW w:w="16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97A944" w14:textId="77777777" w:rsidR="00456BA7" w:rsidRPr="00A3168A" w:rsidRDefault="00456BA7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% plnenia                k upravenému rozpočtu</w:t>
            </w:r>
          </w:p>
        </w:tc>
      </w:tr>
      <w:tr w:rsidR="007625AE" w:rsidRPr="00A3168A" w14:paraId="28959945" w14:textId="77777777" w:rsidTr="00423942">
        <w:trPr>
          <w:trHeight w:val="279"/>
        </w:trPr>
        <w:tc>
          <w:tcPr>
            <w:tcW w:w="26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DC25" w14:textId="77777777" w:rsidR="00456BA7" w:rsidRPr="00A3168A" w:rsidRDefault="00456BA7">
            <w:pPr>
              <w:rPr>
                <w:b/>
                <w:bCs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3C86" w14:textId="77777777" w:rsidR="00456BA7" w:rsidRPr="00A3168A" w:rsidRDefault="00456BA7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Schválený 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CCA8" w14:textId="77777777" w:rsidR="00456BA7" w:rsidRPr="00A3168A" w:rsidRDefault="00456BA7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Upravený</w:t>
            </w:r>
          </w:p>
        </w:tc>
        <w:tc>
          <w:tcPr>
            <w:tcW w:w="16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F2B1" w14:textId="77777777" w:rsidR="00456BA7" w:rsidRPr="00A3168A" w:rsidRDefault="00456BA7">
            <w:pPr>
              <w:rPr>
                <w:b/>
                <w:bCs/>
                <w:color w:val="000000"/>
              </w:rPr>
            </w:pPr>
          </w:p>
        </w:tc>
        <w:tc>
          <w:tcPr>
            <w:tcW w:w="16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D849D6" w14:textId="77777777" w:rsidR="00456BA7" w:rsidRPr="00A3168A" w:rsidRDefault="00456BA7">
            <w:pPr>
              <w:rPr>
                <w:b/>
                <w:bCs/>
                <w:color w:val="000000"/>
              </w:rPr>
            </w:pPr>
          </w:p>
        </w:tc>
      </w:tr>
      <w:tr w:rsidR="007625AE" w:rsidRPr="00A3168A" w14:paraId="691D477B" w14:textId="77777777" w:rsidTr="00423942">
        <w:trPr>
          <w:trHeight w:val="450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AFBB" w14:textId="77777777" w:rsidR="00456BA7" w:rsidRPr="00A3168A" w:rsidRDefault="00456BA7">
            <w:pPr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Výdavky kapitoly: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4D3C" w14:textId="33BD3131" w:rsidR="00456BA7" w:rsidRPr="00A3168A" w:rsidRDefault="00DD24C5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 xml:space="preserve"> 5 050 711</w:t>
            </w:r>
            <w:r w:rsidR="005F64A2" w:rsidRPr="00A3168A">
              <w:rPr>
                <w:b/>
                <w:color w:val="000000"/>
              </w:rPr>
              <w:t>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C866" w14:textId="3BC8ACDD" w:rsidR="00456BA7" w:rsidRPr="00A3168A" w:rsidRDefault="00DD24C5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5 758</w:t>
            </w:r>
            <w:r w:rsidR="005F64A2" w:rsidRPr="00A3168A">
              <w:rPr>
                <w:b/>
                <w:color w:val="000000"/>
              </w:rPr>
              <w:t> 236,85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9D1D" w14:textId="78E12D66" w:rsidR="00456BA7" w:rsidRPr="00A3168A" w:rsidRDefault="0019626E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5 753 226,20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233E3" w14:textId="6D4B4034" w:rsidR="00456BA7" w:rsidRPr="00A3168A" w:rsidRDefault="00135D6E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100,00</w:t>
            </w:r>
          </w:p>
        </w:tc>
      </w:tr>
      <w:tr w:rsidR="00D3346C" w:rsidRPr="00A3168A" w14:paraId="232A04E9" w14:textId="77777777" w:rsidTr="00423942">
        <w:trPr>
          <w:trHeight w:val="279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A875" w14:textId="07BBAD4F" w:rsidR="00D3346C" w:rsidRPr="00A3168A" w:rsidRDefault="00D3346C">
            <w:pPr>
              <w:rPr>
                <w:color w:val="000000"/>
              </w:rPr>
            </w:pPr>
            <w:r w:rsidRPr="00A3168A">
              <w:rPr>
                <w:color w:val="000000"/>
              </w:rPr>
              <w:t>V tom: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65990" w14:textId="77777777" w:rsidR="00D3346C" w:rsidRPr="00A3168A" w:rsidRDefault="00D3346C" w:rsidP="00DF614E">
            <w:pPr>
              <w:jc w:val="right"/>
              <w:rPr>
                <w:color w:val="00000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AC14" w14:textId="77777777" w:rsidR="00D3346C" w:rsidRPr="00A3168A" w:rsidRDefault="00D3346C" w:rsidP="00DF614E">
            <w:pPr>
              <w:jc w:val="right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28AC" w14:textId="77777777" w:rsidR="00D3346C" w:rsidRPr="00A3168A" w:rsidRDefault="00D3346C" w:rsidP="00AF26B1">
            <w:pPr>
              <w:jc w:val="right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E92B2D" w14:textId="77777777" w:rsidR="00D3346C" w:rsidRPr="00A3168A" w:rsidRDefault="00D3346C" w:rsidP="00AF26B1">
            <w:pPr>
              <w:jc w:val="right"/>
              <w:rPr>
                <w:color w:val="000000"/>
              </w:rPr>
            </w:pPr>
          </w:p>
        </w:tc>
      </w:tr>
      <w:tr w:rsidR="006B4C9F" w:rsidRPr="00A3168A" w14:paraId="5B3290FA" w14:textId="77777777" w:rsidTr="00423942">
        <w:trPr>
          <w:trHeight w:val="279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C8EE" w14:textId="094E72AD" w:rsidR="006B4C9F" w:rsidRPr="00A3168A" w:rsidRDefault="006B4C9F">
            <w:pPr>
              <w:rPr>
                <w:color w:val="000000"/>
              </w:rPr>
            </w:pPr>
            <w:r w:rsidRPr="00A3168A">
              <w:rPr>
                <w:color w:val="000000"/>
              </w:rPr>
              <w:t>Výdavky podľa § 17. ods. 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D2BC8" w14:textId="7CED86C5" w:rsidR="006B4C9F" w:rsidRPr="00A3168A" w:rsidRDefault="006B4C9F" w:rsidP="00DF614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5 000,00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5388D" w14:textId="5FAE49C4" w:rsidR="006B4C9F" w:rsidRPr="00A3168A" w:rsidRDefault="006B4C9F" w:rsidP="00DF614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5 000,00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491A" w14:textId="1CE3BF50" w:rsidR="006B4C9F" w:rsidRPr="00A3168A" w:rsidRDefault="006B4C9F" w:rsidP="00AF26B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3C0FAF" w14:textId="0C0341B0" w:rsidR="006B4C9F" w:rsidRPr="00A3168A" w:rsidRDefault="006B4C9F" w:rsidP="00AF26B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</w:tr>
      <w:tr w:rsidR="007625AE" w:rsidRPr="00A3168A" w14:paraId="41448F64" w14:textId="77777777" w:rsidTr="00423942">
        <w:trPr>
          <w:trHeight w:val="279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C267B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z toho: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0CA2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756C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9085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00173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7625AE" w:rsidRPr="00A3168A" w14:paraId="3F252531" w14:textId="77777777" w:rsidTr="00423942">
        <w:trPr>
          <w:trHeight w:val="430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B768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>600 Bežné výdavky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06F2" w14:textId="7D3B0A21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5 037 711,00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369F" w14:textId="417F1052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5 346 584,80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6141" w14:textId="7CAC14EF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5 346 574,15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4DF3F" w14:textId="77777777" w:rsidR="00456BA7" w:rsidRPr="00A3168A" w:rsidRDefault="00456BA7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7625AE" w:rsidRPr="00A3168A" w14:paraId="2466ABDA" w14:textId="77777777" w:rsidTr="00423942">
        <w:trPr>
          <w:trHeight w:val="421"/>
        </w:trPr>
        <w:tc>
          <w:tcPr>
            <w:tcW w:w="26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09036" w14:textId="77777777" w:rsidR="00456BA7" w:rsidRPr="00A3168A" w:rsidRDefault="00456BA7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700 Kapitálové výdavky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1F11" w14:textId="4508A5A3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8 000,00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928A" w14:textId="4E3C7FA2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406 652,05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76ED" w14:textId="0FD7BE80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406 652,05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A1DD1" w14:textId="61297AB7" w:rsidR="00456BA7" w:rsidRPr="00A3168A" w:rsidRDefault="0019626E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</w:tbl>
    <w:p w14:paraId="5A3B231B" w14:textId="77777777" w:rsidR="00234EB0" w:rsidRPr="00A3168A" w:rsidRDefault="00234EB0" w:rsidP="008D3612">
      <w:pPr>
        <w:tabs>
          <w:tab w:val="center" w:pos="0"/>
          <w:tab w:val="left" w:pos="567"/>
        </w:tabs>
        <w:ind w:left="720"/>
        <w:jc w:val="both"/>
      </w:pPr>
    </w:p>
    <w:p w14:paraId="2B8DBF20" w14:textId="18B45731" w:rsidR="0085360F" w:rsidRDefault="00B631CA" w:rsidP="00B631CA">
      <w:pPr>
        <w:tabs>
          <w:tab w:val="center" w:pos="0"/>
        </w:tabs>
        <w:jc w:val="both"/>
      </w:pPr>
      <w:r w:rsidRPr="00A3168A">
        <w:tab/>
      </w:r>
      <w:r w:rsidR="008051EB" w:rsidRPr="00A3168A">
        <w:t>Skutočné čerpanie výdavkov rozpočt</w:t>
      </w:r>
      <w:r w:rsidR="00C13AE2" w:rsidRPr="00A3168A">
        <w:t>u v roku 2020</w:t>
      </w:r>
      <w:r w:rsidRPr="00A3168A">
        <w:t xml:space="preserve"> bolo</w:t>
      </w:r>
      <w:r w:rsidR="008051EB" w:rsidRPr="00A3168A">
        <w:t xml:space="preserve"> </w:t>
      </w:r>
      <w:r w:rsidR="00C13AE2" w:rsidRPr="00A3168A">
        <w:t>5 753 226,20</w:t>
      </w:r>
      <w:r w:rsidR="008051EB" w:rsidRPr="00A3168A">
        <w:t xml:space="preserve"> eur</w:t>
      </w:r>
      <w:r w:rsidR="00C13AE2" w:rsidRPr="00A3168A">
        <w:t xml:space="preserve"> bez prostriedkov podľa § 17 od. 4 zákona</w:t>
      </w:r>
      <w:r w:rsidR="00B15B35" w:rsidRPr="00A3168A">
        <w:t xml:space="preserve"> </w:t>
      </w:r>
      <w:r w:rsidR="00C13AE2" w:rsidRPr="00A3168A">
        <w:t>č. 523/2004 Z. z.</w:t>
      </w:r>
      <w:r w:rsidR="006B4C9F" w:rsidRPr="00A3168A">
        <w:t xml:space="preserve">, </w:t>
      </w:r>
      <w:r w:rsidR="008051EB" w:rsidRPr="00A3168A">
        <w:t xml:space="preserve">čo predstavuje </w:t>
      </w:r>
      <w:r w:rsidR="00C13AE2" w:rsidRPr="00A3168A">
        <w:t>114,02</w:t>
      </w:r>
      <w:r w:rsidR="009B7D98" w:rsidRPr="00A3168A">
        <w:t xml:space="preserve"> </w:t>
      </w:r>
      <w:r w:rsidRPr="00A3168A">
        <w:t>% k schválenému rozpočtu a</w:t>
      </w:r>
      <w:r w:rsidR="00C13AE2" w:rsidRPr="00A3168A">
        <w:t xml:space="preserve"> 100,00 </w:t>
      </w:r>
      <w:r w:rsidRPr="00A3168A">
        <w:t>%</w:t>
      </w:r>
      <w:r w:rsidR="00AF26B1" w:rsidRPr="00A3168A">
        <w:t xml:space="preserve"> k upravenému rozpočtu kapitoly,</w:t>
      </w:r>
      <w:r w:rsidRPr="00A3168A">
        <w:t xml:space="preserve"> </w:t>
      </w:r>
      <w:r w:rsidR="00AF26B1" w:rsidRPr="00A3168A">
        <w:t xml:space="preserve">vrátane prostriedkov § </w:t>
      </w:r>
      <w:r w:rsidR="004C7411" w:rsidRPr="00A3168A">
        <w:t xml:space="preserve">17 ods. 4 zákona </w:t>
      </w:r>
      <w:r w:rsidR="004C7411" w:rsidRPr="00A3168A">
        <w:lastRenderedPageBreak/>
        <w:t>č. 523/2004 Z. </w:t>
      </w:r>
      <w:r w:rsidR="00AF26B1" w:rsidRPr="00A3168A">
        <w:t>z. predstavuje skutočnosť</w:t>
      </w:r>
      <w:r w:rsidR="006B4C9F" w:rsidRPr="00A3168A">
        <w:t xml:space="preserve"> k </w:t>
      </w:r>
      <w:r w:rsidR="00AF26B1" w:rsidRPr="00A3168A">
        <w:t>schvále</w:t>
      </w:r>
      <w:r w:rsidR="006B4C9F" w:rsidRPr="00A3168A">
        <w:t>nému</w:t>
      </w:r>
      <w:r w:rsidR="00AF26B1" w:rsidRPr="00A3168A">
        <w:t xml:space="preserve"> rozpoč</w:t>
      </w:r>
      <w:r w:rsidR="006B4C9F" w:rsidRPr="00A3168A">
        <w:t>tu</w:t>
      </w:r>
      <w:r w:rsidR="00AF26B1" w:rsidRPr="00A3168A">
        <w:t xml:space="preserve"> čerpanie na </w:t>
      </w:r>
      <w:r w:rsidR="0085360F" w:rsidRPr="00A3168A">
        <w:t>113,91</w:t>
      </w:r>
      <w:r w:rsidR="00AF26B1" w:rsidRPr="00A3168A">
        <w:t xml:space="preserve"> % a oproti upravenému rozpočtu </w:t>
      </w:r>
      <w:r w:rsidR="0085360F" w:rsidRPr="00A3168A">
        <w:t>99,91</w:t>
      </w:r>
      <w:r w:rsidR="00AF26B1" w:rsidRPr="00A3168A">
        <w:t xml:space="preserve"> %.</w:t>
      </w:r>
      <w:r w:rsidR="0085360F" w:rsidRPr="00A3168A">
        <w:t xml:space="preserve"> </w:t>
      </w:r>
    </w:p>
    <w:p w14:paraId="5981C200" w14:textId="77777777" w:rsidR="00C01B88" w:rsidRPr="00A3168A" w:rsidRDefault="00C01B88" w:rsidP="00B631CA">
      <w:pPr>
        <w:tabs>
          <w:tab w:val="center" w:pos="0"/>
        </w:tabs>
        <w:jc w:val="both"/>
      </w:pPr>
    </w:p>
    <w:p w14:paraId="13525E09" w14:textId="6EDD005D" w:rsidR="00B631CA" w:rsidRPr="00A3168A" w:rsidRDefault="0085360F" w:rsidP="00B631CA">
      <w:pPr>
        <w:tabs>
          <w:tab w:val="center" w:pos="0"/>
        </w:tabs>
        <w:jc w:val="both"/>
      </w:pPr>
      <w:r w:rsidRPr="00A3168A">
        <w:tab/>
      </w:r>
      <w:r w:rsidR="00B631CA" w:rsidRPr="00A3168A">
        <w:t xml:space="preserve">Najväčší podiel na čerpaní celkových výdavkov </w:t>
      </w:r>
      <w:r w:rsidR="005E11E3" w:rsidRPr="00A3168A">
        <w:t xml:space="preserve">63,29 </w:t>
      </w:r>
      <w:r w:rsidR="00B631CA" w:rsidRPr="00A3168A">
        <w:t>% predstavovali výdavky</w:t>
      </w:r>
      <w:r w:rsidR="00205A80" w:rsidRPr="00A3168A">
        <w:t xml:space="preserve"> </w:t>
      </w:r>
      <w:r w:rsidR="00D3346C" w:rsidRPr="00A3168A">
        <w:t>v celkovej sume</w:t>
      </w:r>
      <w:r w:rsidR="00515408" w:rsidRPr="00A3168A">
        <w:t xml:space="preserve"> </w:t>
      </w:r>
      <w:r w:rsidR="00D3346C" w:rsidRPr="00A3168A">
        <w:t xml:space="preserve">3 641 262,52 eur z toho </w:t>
      </w:r>
      <w:r w:rsidR="00B631CA" w:rsidRPr="00A3168A">
        <w:t xml:space="preserve">na zamestnancov </w:t>
      </w:r>
      <w:r w:rsidR="00B15B35" w:rsidRPr="00A3168A">
        <w:t>2 640 663</w:t>
      </w:r>
      <w:r w:rsidR="00B631CA" w:rsidRPr="00A3168A">
        <w:t xml:space="preserve"> eur t.</w:t>
      </w:r>
      <w:r w:rsidR="00EB0ADA" w:rsidRPr="00A3168A">
        <w:t xml:space="preserve"> </w:t>
      </w:r>
      <w:r w:rsidR="00B631CA" w:rsidRPr="00A3168A">
        <w:t>j. mzdy, platy, služobné príjmy a ostatné osobné vyrovnania</w:t>
      </w:r>
      <w:r w:rsidR="00EB0ADA" w:rsidRPr="00A3168A">
        <w:t>;</w:t>
      </w:r>
      <w:r w:rsidR="00B631CA" w:rsidRPr="00A3168A">
        <w:t xml:space="preserve"> </w:t>
      </w:r>
      <w:r w:rsidR="00B15B35" w:rsidRPr="00A3168A">
        <w:t>1 000 599,52</w:t>
      </w:r>
      <w:r w:rsidR="00B631CA" w:rsidRPr="00A3168A">
        <w:t xml:space="preserve"> eur poistné a príspevky do poisťovní.</w:t>
      </w:r>
    </w:p>
    <w:p w14:paraId="59EE4434" w14:textId="29C34532" w:rsidR="007B0708" w:rsidRPr="00A3168A" w:rsidRDefault="007B0708" w:rsidP="00B631CA">
      <w:pPr>
        <w:tabs>
          <w:tab w:val="center" w:pos="0"/>
        </w:tabs>
        <w:jc w:val="both"/>
      </w:pPr>
      <w:r w:rsidRPr="00A3168A">
        <w:tab/>
        <w:t xml:space="preserve">V rámci kategórie 630 Tovary a služby bolo čerpaných </w:t>
      </w:r>
      <w:r w:rsidR="00B15B35" w:rsidRPr="00A3168A">
        <w:t>1 460 482,69</w:t>
      </w:r>
      <w:r w:rsidRPr="00A3168A">
        <w:t xml:space="preserve"> eur, čo predstavovalo </w:t>
      </w:r>
      <w:r w:rsidR="00B15B35" w:rsidRPr="00A3168A">
        <w:t>25,39</w:t>
      </w:r>
      <w:r w:rsidR="009B7D98" w:rsidRPr="00A3168A">
        <w:t xml:space="preserve"> </w:t>
      </w:r>
      <w:r w:rsidRPr="00A3168A">
        <w:t>%</w:t>
      </w:r>
      <w:r w:rsidR="00F65021" w:rsidRPr="00A3168A">
        <w:t xml:space="preserve"> </w:t>
      </w:r>
      <w:r w:rsidR="00B15B35" w:rsidRPr="00A3168A">
        <w:t>če</w:t>
      </w:r>
      <w:r w:rsidR="00F65021" w:rsidRPr="00A3168A">
        <w:t xml:space="preserve">rpanie </w:t>
      </w:r>
      <w:r w:rsidRPr="00A3168A">
        <w:t xml:space="preserve"> z celkového objemu čerpaných výdavkov.</w:t>
      </w:r>
    </w:p>
    <w:p w14:paraId="4342530D" w14:textId="722E4132" w:rsidR="0085360F" w:rsidRPr="00A3168A" w:rsidRDefault="0085360F" w:rsidP="00B631CA">
      <w:pPr>
        <w:tabs>
          <w:tab w:val="center" w:pos="0"/>
        </w:tabs>
        <w:jc w:val="both"/>
        <w:rPr>
          <w:highlight w:val="yellow"/>
        </w:rPr>
      </w:pPr>
      <w:r w:rsidRPr="00A3168A">
        <w:tab/>
        <w:t xml:space="preserve">V rámci kategórie 640 </w:t>
      </w:r>
      <w:r w:rsidR="00D0168D">
        <w:t>B</w:t>
      </w:r>
      <w:r w:rsidR="00374164" w:rsidRPr="00A3168A">
        <w:t xml:space="preserve">ežné transfery bolo čerpaných 244 828,94 eur čo predstavovalo </w:t>
      </w:r>
      <w:r w:rsidR="00885055" w:rsidRPr="00A3168A">
        <w:t>4,25</w:t>
      </w:r>
      <w:r w:rsidR="00374164" w:rsidRPr="00A3168A">
        <w:t xml:space="preserve"> % čerpanie z</w:t>
      </w:r>
      <w:r w:rsidR="00885055" w:rsidRPr="00A3168A">
        <w:t> celkového objemu čerpaných výdavkov.</w:t>
      </w:r>
    </w:p>
    <w:p w14:paraId="1A4FF352" w14:textId="77777777" w:rsidR="00C01B88" w:rsidRDefault="007B0708" w:rsidP="00B631CA">
      <w:pPr>
        <w:tabs>
          <w:tab w:val="center" w:pos="0"/>
        </w:tabs>
        <w:jc w:val="both"/>
      </w:pPr>
      <w:r w:rsidRPr="00A3168A">
        <w:tab/>
      </w:r>
    </w:p>
    <w:p w14:paraId="0B4495E0" w14:textId="74D9221D" w:rsidR="00111FFD" w:rsidRPr="00A3168A" w:rsidRDefault="00C01B88" w:rsidP="00B631CA">
      <w:pPr>
        <w:tabs>
          <w:tab w:val="center" w:pos="0"/>
        </w:tabs>
        <w:jc w:val="both"/>
      </w:pPr>
      <w:r>
        <w:tab/>
      </w:r>
      <w:r w:rsidR="007B0708" w:rsidRPr="00A3168A">
        <w:t xml:space="preserve">Kapitálové výdavky boli čerpané vo výške </w:t>
      </w:r>
      <w:r w:rsidR="00B15B35" w:rsidRPr="00A3168A">
        <w:t>406 652,05</w:t>
      </w:r>
      <w:r w:rsidR="007B0708" w:rsidRPr="00A3168A">
        <w:t xml:space="preserve"> eur t</w:t>
      </w:r>
      <w:r w:rsidR="00EB0ADA" w:rsidRPr="00A3168A">
        <w:t xml:space="preserve">. </w:t>
      </w:r>
      <w:r w:rsidR="007B0708" w:rsidRPr="00A3168A">
        <w:t xml:space="preserve">j. </w:t>
      </w:r>
      <w:r w:rsidR="00B15B35" w:rsidRPr="00A3168A">
        <w:t>7,07</w:t>
      </w:r>
      <w:r w:rsidR="00C8467D" w:rsidRPr="00A3168A">
        <w:t xml:space="preserve"> </w:t>
      </w:r>
      <w:r w:rsidR="007B0708" w:rsidRPr="00A3168A">
        <w:t>% z celkových čerpaných výdavkov.</w:t>
      </w:r>
      <w:r w:rsidR="003262E2" w:rsidRPr="00A3168A">
        <w:t xml:space="preserve"> Čerpanie v tejto kategórii výdavkov v porovnaní voči upravenému rozpočtu </w:t>
      </w:r>
      <w:r w:rsidR="007625AE" w:rsidRPr="00A3168A">
        <w:t xml:space="preserve">predstavovalo </w:t>
      </w:r>
      <w:r w:rsidR="00B15B35" w:rsidRPr="00A3168A">
        <w:t xml:space="preserve">čerpanie na 100 %. </w:t>
      </w:r>
    </w:p>
    <w:p w14:paraId="42E8C85D" w14:textId="77777777" w:rsidR="007B0708" w:rsidRPr="00A3168A" w:rsidRDefault="007B0708" w:rsidP="00B631CA">
      <w:pPr>
        <w:tabs>
          <w:tab w:val="center" w:pos="0"/>
        </w:tabs>
        <w:jc w:val="both"/>
      </w:pPr>
    </w:p>
    <w:p w14:paraId="775B7092" w14:textId="77777777" w:rsidR="004F302C" w:rsidRPr="00A3168A" w:rsidRDefault="004F302C" w:rsidP="00041256">
      <w:pPr>
        <w:pStyle w:val="Nadpis3"/>
        <w:numPr>
          <w:ilvl w:val="0"/>
          <w:numId w:val="0"/>
        </w:numPr>
        <w:ind w:left="720" w:hanging="720"/>
        <w:rPr>
          <w:rFonts w:ascii="Times New Roman" w:hAnsi="Times New Roman" w:cs="Times New Roman"/>
        </w:rPr>
      </w:pPr>
      <w:bookmarkStart w:id="11" w:name="_Toc71783120"/>
      <w:r w:rsidRPr="00A3168A">
        <w:rPr>
          <w:rFonts w:ascii="Times New Roman" w:hAnsi="Times New Roman" w:cs="Times New Roman"/>
        </w:rPr>
        <w:t>1.3.1. Výdavky kapitoly podľa ekonomickej klasifikácie</w:t>
      </w:r>
      <w:bookmarkEnd w:id="11"/>
    </w:p>
    <w:p w14:paraId="09FA9A9C" w14:textId="77777777" w:rsidR="004F302C" w:rsidRPr="00A3168A" w:rsidRDefault="004F302C" w:rsidP="004F302C">
      <w:pPr>
        <w:tabs>
          <w:tab w:val="center" w:pos="0"/>
        </w:tabs>
        <w:jc w:val="both"/>
      </w:pPr>
    </w:p>
    <w:p w14:paraId="6E0A1907" w14:textId="125E88CD" w:rsidR="00255F13" w:rsidRDefault="00255F13" w:rsidP="004F302C">
      <w:pPr>
        <w:tabs>
          <w:tab w:val="center" w:pos="0"/>
          <w:tab w:val="left" w:pos="567"/>
        </w:tabs>
        <w:jc w:val="both"/>
      </w:pPr>
      <w:r w:rsidRPr="00A3168A">
        <w:t xml:space="preserve">      </w:t>
      </w:r>
      <w:r w:rsidR="0010567A" w:rsidRPr="00A3168A">
        <w:t xml:space="preserve">    </w:t>
      </w:r>
      <w:r w:rsidRPr="00A3168A">
        <w:t xml:space="preserve"> Kancelária prezidenta v hodnotenom období čerpala bežné a kapitálové výdavky v</w:t>
      </w:r>
      <w:r w:rsidR="00CC5652" w:rsidRPr="00A3168A">
        <w:t> súlade so schváleným, resp. upraveným rozpočtom</w:t>
      </w:r>
      <w:r w:rsidR="001E7320" w:rsidRPr="00A3168A">
        <w:t xml:space="preserve"> na príslušný rozpočtový rok 2020</w:t>
      </w:r>
      <w:r w:rsidRPr="00A3168A">
        <w:t xml:space="preserve">. </w:t>
      </w:r>
      <w:r w:rsidR="00CC5652" w:rsidRPr="00A3168A">
        <w:t>Výdavky boli vždy použité na zabezpečovanie úloh v zmysle zákona č. 16/1993 Z.</w:t>
      </w:r>
      <w:r w:rsidR="00D422A5" w:rsidRPr="00A3168A">
        <w:t xml:space="preserve"> </w:t>
      </w:r>
      <w:r w:rsidR="00CC5652" w:rsidRPr="00A3168A">
        <w:t>z. o Kancelárii prezidenta v znení neskorších predpisov.</w:t>
      </w:r>
      <w:r w:rsidRPr="00A3168A">
        <w:t xml:space="preserve"> </w:t>
      </w:r>
      <w:r w:rsidR="004F302C" w:rsidRPr="00A3168A">
        <w:tab/>
      </w:r>
    </w:p>
    <w:p w14:paraId="4FB2E974" w14:textId="77777777" w:rsidR="004A042D" w:rsidRPr="00A3168A" w:rsidRDefault="004A042D" w:rsidP="004F302C">
      <w:pPr>
        <w:tabs>
          <w:tab w:val="center" w:pos="0"/>
          <w:tab w:val="left" w:pos="567"/>
        </w:tabs>
        <w:jc w:val="both"/>
      </w:pPr>
    </w:p>
    <w:p w14:paraId="146F10E4" w14:textId="4AF0176C" w:rsidR="00016321" w:rsidRPr="00A3168A" w:rsidRDefault="00CB28C7" w:rsidP="00016321">
      <w:pPr>
        <w:tabs>
          <w:tab w:val="center" w:pos="0"/>
          <w:tab w:val="left" w:pos="567"/>
        </w:tabs>
        <w:jc w:val="both"/>
      </w:pPr>
      <w:r w:rsidRPr="00A3168A">
        <w:rPr>
          <w:b/>
        </w:rPr>
        <w:tab/>
      </w:r>
      <w:r w:rsidR="00016321" w:rsidRPr="00A3168A">
        <w:rPr>
          <w:b/>
        </w:rPr>
        <w:t>Celkové výdavky</w:t>
      </w:r>
      <w:r w:rsidR="00016321" w:rsidRPr="00A3168A">
        <w:t xml:space="preserve"> Kancelári</w:t>
      </w:r>
      <w:r w:rsidR="001E7320" w:rsidRPr="00A3168A">
        <w:t>e prezidenta dosiahli v roku 2020</w:t>
      </w:r>
      <w:r w:rsidR="00016321" w:rsidRPr="00A3168A">
        <w:t xml:space="preserve"> výšku </w:t>
      </w:r>
      <w:r w:rsidR="001E7320" w:rsidRPr="00A3168A">
        <w:rPr>
          <w:b/>
        </w:rPr>
        <w:t>5 753 226,20</w:t>
      </w:r>
      <w:r w:rsidR="00016321" w:rsidRPr="00A3168A">
        <w:t xml:space="preserve"> eur,</w:t>
      </w:r>
      <w:r w:rsidR="00C1443A" w:rsidRPr="00A3168A">
        <w:t xml:space="preserve"> </w:t>
      </w:r>
      <w:r w:rsidR="007749C4" w:rsidRPr="00A3168A">
        <w:t xml:space="preserve">        </w:t>
      </w:r>
      <w:r w:rsidR="00016321" w:rsidRPr="00A3168A">
        <w:t xml:space="preserve">čo predstavuje čerpanie na </w:t>
      </w:r>
      <w:r w:rsidR="001E7320" w:rsidRPr="00A3168A">
        <w:t>100</w:t>
      </w:r>
      <w:r w:rsidR="00EF33B0" w:rsidRPr="00A3168A">
        <w:t xml:space="preserve"> </w:t>
      </w:r>
      <w:r w:rsidR="00016321" w:rsidRPr="00A3168A">
        <w:t>%</w:t>
      </w:r>
      <w:r w:rsidR="00016321" w:rsidRPr="00A3168A">
        <w:rPr>
          <w:b/>
        </w:rPr>
        <w:t xml:space="preserve"> </w:t>
      </w:r>
      <w:r w:rsidR="00016321" w:rsidRPr="00A3168A">
        <w:t xml:space="preserve">v porovnaní k upravenému rozpočtu. </w:t>
      </w:r>
    </w:p>
    <w:p w14:paraId="03E7AB50" w14:textId="0EF8EB3B" w:rsidR="00F937A8" w:rsidRPr="00A3168A" w:rsidRDefault="00016321" w:rsidP="00016321">
      <w:pPr>
        <w:tabs>
          <w:tab w:val="center" w:pos="0"/>
          <w:tab w:val="left" w:pos="567"/>
        </w:tabs>
        <w:jc w:val="both"/>
      </w:pPr>
      <w:r w:rsidRPr="00A3168A">
        <w:tab/>
      </w:r>
      <w:r w:rsidRPr="00A3168A">
        <w:rPr>
          <w:b/>
        </w:rPr>
        <w:t>Bežné výdavky</w:t>
      </w:r>
      <w:r w:rsidRPr="00A3168A">
        <w:t xml:space="preserve"> boli čerpané vo výške </w:t>
      </w:r>
      <w:r w:rsidR="001E7320" w:rsidRPr="00A3168A">
        <w:rPr>
          <w:b/>
        </w:rPr>
        <w:t>5 346 574,15</w:t>
      </w:r>
      <w:r w:rsidRPr="00A3168A">
        <w:t xml:space="preserve"> eur, t.</w:t>
      </w:r>
      <w:r w:rsidR="00881DE3" w:rsidRPr="00A3168A">
        <w:t xml:space="preserve"> </w:t>
      </w:r>
      <w:r w:rsidRPr="00A3168A">
        <w:t xml:space="preserve">j. na </w:t>
      </w:r>
      <w:r w:rsidR="00954D11" w:rsidRPr="00A3168A">
        <w:t>10</w:t>
      </w:r>
      <w:r w:rsidR="00A12905" w:rsidRPr="00A3168A">
        <w:t>0</w:t>
      </w:r>
      <w:r w:rsidR="004C7411" w:rsidRPr="00A3168A">
        <w:t xml:space="preserve"> </w:t>
      </w:r>
      <w:r w:rsidRPr="00A3168A">
        <w:t>%</w:t>
      </w:r>
      <w:r w:rsidR="00AC10F2" w:rsidRPr="00A3168A">
        <w:rPr>
          <w:b/>
        </w:rPr>
        <w:t xml:space="preserve"> </w:t>
      </w:r>
      <w:r w:rsidR="00AC10F2" w:rsidRPr="00A3168A">
        <w:t>z ročného upraveného rozpočtu</w:t>
      </w:r>
      <w:r w:rsidR="00CC1462" w:rsidRPr="00A3168A">
        <w:t>.</w:t>
      </w:r>
    </w:p>
    <w:p w14:paraId="69A3BD2E" w14:textId="60E08B15" w:rsidR="00016321" w:rsidRPr="00A3168A" w:rsidRDefault="00F937A8" w:rsidP="00016321">
      <w:pPr>
        <w:tabs>
          <w:tab w:val="center" w:pos="0"/>
          <w:tab w:val="left" w:pos="567"/>
        </w:tabs>
        <w:jc w:val="both"/>
      </w:pPr>
      <w:r w:rsidRPr="00A3168A">
        <w:tab/>
      </w:r>
      <w:r w:rsidR="00016321" w:rsidRPr="00A3168A">
        <w:t xml:space="preserve">V rámci bežných výdavkov záväzný ukazovateľ na </w:t>
      </w:r>
      <w:r w:rsidR="00857560" w:rsidRPr="00A3168A">
        <w:rPr>
          <w:b/>
        </w:rPr>
        <w:t>m</w:t>
      </w:r>
      <w:r w:rsidR="00016321" w:rsidRPr="00A3168A">
        <w:rPr>
          <w:b/>
        </w:rPr>
        <w:t>zdy, platy, služobné príjmy a ostatné osobné vyrovnania</w:t>
      </w:r>
      <w:r w:rsidR="00016321" w:rsidRPr="00A3168A">
        <w:t xml:space="preserve"> bol čerpaný vo výške </w:t>
      </w:r>
      <w:r w:rsidR="005E11E3" w:rsidRPr="00A3168A">
        <w:rPr>
          <w:b/>
        </w:rPr>
        <w:t>2 640 663,00</w:t>
      </w:r>
      <w:r w:rsidR="00016321" w:rsidRPr="00A3168A">
        <w:t xml:space="preserve"> eur, teda na 100 % v porovnaní k upravenému rozpočtu.</w:t>
      </w:r>
    </w:p>
    <w:p w14:paraId="1738573F" w14:textId="77777777" w:rsidR="004A042D" w:rsidRDefault="00016321" w:rsidP="004F302C">
      <w:pPr>
        <w:tabs>
          <w:tab w:val="center" w:pos="0"/>
          <w:tab w:val="left" w:pos="567"/>
        </w:tabs>
        <w:jc w:val="both"/>
        <w:rPr>
          <w:sz w:val="12"/>
          <w:szCs w:val="12"/>
        </w:rPr>
      </w:pPr>
      <w:r w:rsidRPr="00A3168A">
        <w:tab/>
      </w:r>
      <w:r w:rsidRPr="00A3168A">
        <w:rPr>
          <w:b/>
        </w:rPr>
        <w:t>Kapitálové výdavky</w:t>
      </w:r>
      <w:r w:rsidR="005E11E3" w:rsidRPr="00A3168A">
        <w:t xml:space="preserve"> boli v roku 2020</w:t>
      </w:r>
      <w:r w:rsidRPr="00A3168A">
        <w:t xml:space="preserve"> čerpané v sume </w:t>
      </w:r>
      <w:r w:rsidR="005E11E3" w:rsidRPr="00A3168A">
        <w:rPr>
          <w:b/>
        </w:rPr>
        <w:t>406 652,05</w:t>
      </w:r>
      <w:r w:rsidRPr="00A3168A">
        <w:t xml:space="preserve"> eur, t.</w:t>
      </w:r>
      <w:r w:rsidR="00881DE3" w:rsidRPr="00A3168A">
        <w:t xml:space="preserve"> </w:t>
      </w:r>
      <w:r w:rsidRPr="00A3168A">
        <w:t xml:space="preserve">j. na </w:t>
      </w:r>
      <w:r w:rsidR="005E11E3" w:rsidRPr="00A3168A">
        <w:t>100</w:t>
      </w:r>
      <w:r w:rsidR="004C7411" w:rsidRPr="00A3168A">
        <w:t xml:space="preserve"> </w:t>
      </w:r>
      <w:r w:rsidRPr="00A3168A">
        <w:t>% v porovnaní k  upravenému rozpočtu.</w:t>
      </w:r>
      <w:r w:rsidR="00222FAA" w:rsidRPr="00A3168A">
        <w:rPr>
          <w:sz w:val="12"/>
          <w:szCs w:val="12"/>
        </w:rPr>
        <w:t xml:space="preserve">    </w:t>
      </w:r>
    </w:p>
    <w:p w14:paraId="499D727D" w14:textId="4D7EDEDB" w:rsidR="00222FAA" w:rsidRPr="00A3168A" w:rsidRDefault="00222FAA" w:rsidP="004F302C">
      <w:pPr>
        <w:tabs>
          <w:tab w:val="center" w:pos="0"/>
          <w:tab w:val="left" w:pos="567"/>
        </w:tabs>
        <w:jc w:val="both"/>
      </w:pPr>
      <w:r w:rsidRPr="00A3168A">
        <w:rPr>
          <w:sz w:val="12"/>
          <w:szCs w:val="12"/>
        </w:rPr>
        <w:t xml:space="preserve">                                                          </w:t>
      </w:r>
      <w:r w:rsidR="00210087" w:rsidRPr="00A3168A">
        <w:rPr>
          <w:sz w:val="12"/>
          <w:szCs w:val="12"/>
        </w:rPr>
        <w:t xml:space="preserve">       </w:t>
      </w:r>
      <w:r w:rsidRPr="00A3168A">
        <w:rPr>
          <w:sz w:val="12"/>
          <w:szCs w:val="12"/>
        </w:rPr>
        <w:t xml:space="preserve">  </w:t>
      </w:r>
    </w:p>
    <w:p w14:paraId="383E0B04" w14:textId="11F48B1E" w:rsidR="00D46871" w:rsidRPr="00A3168A" w:rsidRDefault="00387294" w:rsidP="004F302C">
      <w:pPr>
        <w:tabs>
          <w:tab w:val="center" w:pos="0"/>
          <w:tab w:val="left" w:pos="567"/>
        </w:tabs>
        <w:jc w:val="both"/>
      </w:pPr>
      <w:r w:rsidRPr="00A3168A">
        <w:tab/>
      </w:r>
      <w:r w:rsidR="005E11E3" w:rsidRPr="00A3168A">
        <w:t>V roku 2020</w:t>
      </w:r>
      <w:r w:rsidR="00016321" w:rsidRPr="00A3168A">
        <w:t xml:space="preserve"> z</w:t>
      </w:r>
      <w:r w:rsidR="00387D64" w:rsidRPr="00A3168A">
        <w:t> celkových výdavkov</w:t>
      </w:r>
      <w:r w:rsidR="00A64F19" w:rsidRPr="00A3168A">
        <w:t xml:space="preserve"> Kancelárie prezidenta</w:t>
      </w:r>
      <w:r w:rsidR="00387D64" w:rsidRPr="00A3168A">
        <w:t xml:space="preserve"> predstavujú najväčší podiel osobné výdavky </w:t>
      </w:r>
      <w:r w:rsidR="005E11E3" w:rsidRPr="00A3168A">
        <w:t>63,29</w:t>
      </w:r>
      <w:r w:rsidR="004C7411" w:rsidRPr="00A3168A">
        <w:t xml:space="preserve"> </w:t>
      </w:r>
      <w:r w:rsidR="00ED4D26" w:rsidRPr="00A3168A">
        <w:t>%</w:t>
      </w:r>
      <w:r w:rsidR="00387D64" w:rsidRPr="00A3168A">
        <w:t xml:space="preserve"> </w:t>
      </w:r>
      <w:r w:rsidR="00016321" w:rsidRPr="00A3168A">
        <w:t>(</w:t>
      </w:r>
      <w:r w:rsidR="00387D64" w:rsidRPr="00A3168A">
        <w:t>t.</w:t>
      </w:r>
      <w:r w:rsidR="00881DE3" w:rsidRPr="00A3168A">
        <w:t xml:space="preserve"> </w:t>
      </w:r>
      <w:r w:rsidR="00387D64" w:rsidRPr="00A3168A">
        <w:t>j. mzdy</w:t>
      </w:r>
      <w:r w:rsidR="009D7ECE" w:rsidRPr="00A3168A">
        <w:t xml:space="preserve"> a</w:t>
      </w:r>
      <w:r w:rsidR="00B969E1" w:rsidRPr="00A3168A">
        <w:t xml:space="preserve"> </w:t>
      </w:r>
      <w:r w:rsidR="00387D64" w:rsidRPr="00A3168A">
        <w:t>odvody do poisťovní</w:t>
      </w:r>
      <w:r w:rsidR="00A64F19" w:rsidRPr="00A3168A">
        <w:t xml:space="preserve"> spolu</w:t>
      </w:r>
      <w:r w:rsidR="00016321" w:rsidRPr="00A3168A">
        <w:t>)</w:t>
      </w:r>
      <w:r w:rsidR="00387D64" w:rsidRPr="00A3168A">
        <w:t xml:space="preserve">, ďalej tovary a služby predstavujú </w:t>
      </w:r>
      <w:r w:rsidR="005E11E3" w:rsidRPr="00A3168A">
        <w:t>25,39</w:t>
      </w:r>
      <w:r w:rsidR="004C7411" w:rsidRPr="00A3168A">
        <w:t xml:space="preserve"> </w:t>
      </w:r>
      <w:r w:rsidR="00387D64" w:rsidRPr="00A3168A">
        <w:t xml:space="preserve">% </w:t>
      </w:r>
      <w:r w:rsidR="00C94262" w:rsidRPr="00A3168A">
        <w:t>(</w:t>
      </w:r>
      <w:r w:rsidR="00EF33B0" w:rsidRPr="00A3168A">
        <w:t xml:space="preserve">ide </w:t>
      </w:r>
      <w:r w:rsidR="00573FEA" w:rsidRPr="00A3168A">
        <w:t xml:space="preserve">napr. </w:t>
      </w:r>
      <w:r w:rsidR="00C94262" w:rsidRPr="00A3168A">
        <w:t xml:space="preserve">o výdavky na energie, cestovné výdavky, </w:t>
      </w:r>
      <w:r w:rsidR="00573FEA" w:rsidRPr="00A3168A">
        <w:t>kancelárske</w:t>
      </w:r>
      <w:r w:rsidR="00573FEA" w:rsidRPr="00A3168A">
        <w:rPr>
          <w:i/>
        </w:rPr>
        <w:t xml:space="preserve"> </w:t>
      </w:r>
      <w:r w:rsidR="00573FEA" w:rsidRPr="00A3168A">
        <w:t xml:space="preserve">potreby, </w:t>
      </w:r>
      <w:r w:rsidR="00C94262" w:rsidRPr="00A3168A">
        <w:t>výpočtovú techn</w:t>
      </w:r>
      <w:r w:rsidR="0069711F" w:rsidRPr="00A3168A">
        <w:t>iku, softvér,</w:t>
      </w:r>
      <w:r w:rsidR="00C94262" w:rsidRPr="00A3168A">
        <w:t xml:space="preserve"> nájomné, poistné, výdavky na autodopravu, opravy</w:t>
      </w:r>
      <w:r w:rsidR="00573FEA" w:rsidRPr="00A3168A">
        <w:t xml:space="preserve"> a údržbu</w:t>
      </w:r>
      <w:r w:rsidR="00C94262" w:rsidRPr="00A3168A">
        <w:t xml:space="preserve">, odborné kontroly a revízie, zamestnanecké stravovanie, reprezentačné a pod.) </w:t>
      </w:r>
      <w:r w:rsidR="00387D64" w:rsidRPr="00A3168A">
        <w:t xml:space="preserve">a zvyšných </w:t>
      </w:r>
      <w:r w:rsidR="00885055" w:rsidRPr="00A3168A">
        <w:t>4,25</w:t>
      </w:r>
      <w:r w:rsidR="004C7411" w:rsidRPr="00A3168A">
        <w:t> </w:t>
      </w:r>
      <w:r w:rsidR="00387D64" w:rsidRPr="00A3168A">
        <w:t xml:space="preserve">% sú bežné transfery </w:t>
      </w:r>
      <w:r w:rsidR="00885055" w:rsidRPr="00A3168A">
        <w:t>(</w:t>
      </w:r>
      <w:r w:rsidR="00573FEA" w:rsidRPr="00A3168A">
        <w:t xml:space="preserve">platy bývalých prezidentov, </w:t>
      </w:r>
      <w:r w:rsidR="00CF1D34" w:rsidRPr="00A3168A">
        <w:t>dispozičný fond prezidenta, nemocenské</w:t>
      </w:r>
      <w:r w:rsidR="003C2141" w:rsidRPr="00A3168A">
        <w:t xml:space="preserve"> dávky</w:t>
      </w:r>
      <w:r w:rsidR="00E95D66" w:rsidRPr="00A3168A">
        <w:t>, odstupné</w:t>
      </w:r>
      <w:r w:rsidR="00CF1D34" w:rsidRPr="00A3168A">
        <w:t xml:space="preserve">) </w:t>
      </w:r>
      <w:r w:rsidR="00387D64" w:rsidRPr="00A3168A">
        <w:t>a</w:t>
      </w:r>
      <w:r w:rsidR="00B76A09" w:rsidRPr="00A3168A">
        <w:t> 7,07</w:t>
      </w:r>
      <w:r w:rsidR="004C7411" w:rsidRPr="00A3168A">
        <w:t xml:space="preserve"> </w:t>
      </w:r>
      <w:r w:rsidR="00CF1D34" w:rsidRPr="00A3168A">
        <w:t>%</w:t>
      </w:r>
      <w:r w:rsidR="00387D64" w:rsidRPr="00A3168A">
        <w:t xml:space="preserve"> </w:t>
      </w:r>
      <w:r w:rsidR="00EB5D6A" w:rsidRPr="00A3168A">
        <w:t xml:space="preserve">sú </w:t>
      </w:r>
      <w:r w:rsidR="00387D64" w:rsidRPr="00A3168A">
        <w:t>kapitálové výdavky</w:t>
      </w:r>
      <w:r w:rsidR="00F937A8" w:rsidRPr="00A3168A">
        <w:t>.</w:t>
      </w:r>
    </w:p>
    <w:p w14:paraId="3F39579E" w14:textId="7248FAA5" w:rsidR="00954D11" w:rsidRPr="00A3168A" w:rsidRDefault="00954D11" w:rsidP="004F302C">
      <w:pPr>
        <w:tabs>
          <w:tab w:val="center" w:pos="0"/>
          <w:tab w:val="left" w:pos="567"/>
        </w:tabs>
        <w:jc w:val="both"/>
      </w:pPr>
    </w:p>
    <w:p w14:paraId="74C474C3" w14:textId="77777777" w:rsidR="00857560" w:rsidRPr="00A3168A" w:rsidRDefault="00857560" w:rsidP="004F302C">
      <w:pPr>
        <w:tabs>
          <w:tab w:val="center" w:pos="0"/>
          <w:tab w:val="left" w:pos="567"/>
        </w:tabs>
        <w:jc w:val="both"/>
      </w:pPr>
    </w:p>
    <w:p w14:paraId="15E326F6" w14:textId="77777777" w:rsidR="004F302C" w:rsidRPr="00A3168A" w:rsidRDefault="004F302C" w:rsidP="004F302C">
      <w:pPr>
        <w:jc w:val="both"/>
        <w:rPr>
          <w:b/>
          <w:szCs w:val="28"/>
        </w:rPr>
      </w:pPr>
      <w:r w:rsidRPr="00A3168A">
        <w:rPr>
          <w:szCs w:val="28"/>
          <w:u w:val="single"/>
        </w:rPr>
        <w:t>Bežné výdavky celkom</w:t>
      </w:r>
      <w:r w:rsidRPr="00A3168A">
        <w:rPr>
          <w:b/>
          <w:szCs w:val="28"/>
        </w:rPr>
        <w:t xml:space="preserve">     </w:t>
      </w:r>
      <w:r w:rsidRPr="00A3168A">
        <w:rPr>
          <w:b/>
          <w:szCs w:val="28"/>
        </w:rPr>
        <w:tab/>
        <w:t xml:space="preserve">                                  </w:t>
      </w:r>
    </w:p>
    <w:p w14:paraId="465A67AF" w14:textId="445D9946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Upravený rozpočet</w:t>
      </w:r>
      <w:r w:rsidR="00526F8D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: </w:t>
      </w:r>
      <w:r w:rsidR="00F8052B" w:rsidRPr="00A3168A">
        <w:rPr>
          <w:sz w:val="20"/>
          <w:szCs w:val="20"/>
        </w:rPr>
        <w:t xml:space="preserve"> </w:t>
      </w:r>
      <w:r w:rsidR="00B76A09" w:rsidRPr="00A3168A">
        <w:rPr>
          <w:sz w:val="20"/>
          <w:szCs w:val="20"/>
        </w:rPr>
        <w:t>5</w:t>
      </w:r>
      <w:r w:rsidR="00746984" w:rsidRPr="00A3168A">
        <w:rPr>
          <w:sz w:val="20"/>
          <w:szCs w:val="20"/>
        </w:rPr>
        <w:t> 346 584,80</w:t>
      </w:r>
      <w:r w:rsidR="00AC6F0A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eur</w:t>
      </w:r>
    </w:p>
    <w:p w14:paraId="154886E2" w14:textId="2B292A01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</w:t>
      </w:r>
      <w:r w:rsidR="00526F8D">
        <w:rPr>
          <w:sz w:val="20"/>
          <w:szCs w:val="20"/>
        </w:rPr>
        <w:t xml:space="preserve">          </w:t>
      </w:r>
      <w:r w:rsidRPr="00A3168A">
        <w:rPr>
          <w:sz w:val="20"/>
          <w:szCs w:val="20"/>
        </w:rPr>
        <w:t xml:space="preserve">: </w:t>
      </w:r>
      <w:r w:rsidR="00A43C54" w:rsidRPr="00A3168A">
        <w:rPr>
          <w:sz w:val="20"/>
          <w:szCs w:val="20"/>
        </w:rPr>
        <w:t xml:space="preserve"> </w:t>
      </w:r>
      <w:r w:rsidR="00B76A09" w:rsidRPr="00A3168A">
        <w:rPr>
          <w:sz w:val="20"/>
          <w:szCs w:val="20"/>
        </w:rPr>
        <w:t>5</w:t>
      </w:r>
      <w:r w:rsidR="00746984" w:rsidRPr="00A3168A">
        <w:rPr>
          <w:sz w:val="20"/>
          <w:szCs w:val="20"/>
        </w:rPr>
        <w:t> 346 574,15</w:t>
      </w:r>
      <w:r w:rsidRPr="00A3168A">
        <w:rPr>
          <w:sz w:val="20"/>
          <w:szCs w:val="20"/>
        </w:rPr>
        <w:t xml:space="preserve"> eur         </w:t>
      </w:r>
    </w:p>
    <w:p w14:paraId="1A6B4B92" w14:textId="2D8A5C16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% plnenia  k UR    :             </w:t>
      </w:r>
      <w:r w:rsidR="00232266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 %</w:t>
      </w:r>
    </w:p>
    <w:p w14:paraId="213ECDBF" w14:textId="77777777" w:rsidR="008261C4" w:rsidRPr="00A3168A" w:rsidRDefault="004F302C" w:rsidP="0010567A">
      <w:pPr>
        <w:tabs>
          <w:tab w:val="center" w:pos="0"/>
        </w:tabs>
        <w:jc w:val="both"/>
        <w:rPr>
          <w:b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––––––––––––––––––––––––––––</w:t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  <w:t xml:space="preserve">––                                                                                                                       </w:t>
      </w:r>
    </w:p>
    <w:p w14:paraId="0167EA96" w14:textId="3552B5D7" w:rsidR="00BC0696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ab/>
      </w:r>
    </w:p>
    <w:p w14:paraId="4116CC20" w14:textId="77777777" w:rsidR="00857560" w:rsidRPr="00A3168A" w:rsidRDefault="00857560" w:rsidP="004F302C">
      <w:pPr>
        <w:jc w:val="both"/>
        <w:rPr>
          <w:sz w:val="20"/>
          <w:szCs w:val="20"/>
        </w:rPr>
      </w:pPr>
    </w:p>
    <w:p w14:paraId="0A9F39F0" w14:textId="32371E26" w:rsidR="00EF7537" w:rsidRPr="00A3168A" w:rsidRDefault="00BC0696" w:rsidP="004F302C">
      <w:pPr>
        <w:jc w:val="both"/>
      </w:pPr>
      <w:r w:rsidRPr="00A3168A">
        <w:rPr>
          <w:sz w:val="20"/>
          <w:szCs w:val="20"/>
        </w:rPr>
        <w:t xml:space="preserve">            </w:t>
      </w:r>
      <w:r w:rsidR="004F302C" w:rsidRPr="00A3168A">
        <w:t xml:space="preserve">Schválený </w:t>
      </w:r>
      <w:r w:rsidR="00C14600" w:rsidRPr="00A3168A">
        <w:t>rozpočet výdavkov v hlavnej kategórii 600</w:t>
      </w:r>
      <w:r w:rsidR="004F302C" w:rsidRPr="00A3168A">
        <w:t xml:space="preserve"> bežn</w:t>
      </w:r>
      <w:r w:rsidR="00C14600" w:rsidRPr="00A3168A">
        <w:t>é</w:t>
      </w:r>
      <w:r w:rsidR="004F302C" w:rsidRPr="00A3168A">
        <w:t xml:space="preserve"> výdavk</w:t>
      </w:r>
      <w:r w:rsidR="00C14600" w:rsidRPr="00A3168A">
        <w:t>y</w:t>
      </w:r>
      <w:r w:rsidR="004F302C" w:rsidRPr="00A3168A">
        <w:t xml:space="preserve"> </w:t>
      </w:r>
      <w:r w:rsidR="00D478C0" w:rsidRPr="00A3168A">
        <w:t>vo finančnom objeme</w:t>
      </w:r>
      <w:r w:rsidR="00107EBA" w:rsidRPr="00A3168A">
        <w:t xml:space="preserve"> </w:t>
      </w:r>
      <w:r w:rsidR="00B76A09" w:rsidRPr="00A3168A">
        <w:t>5 037 711,00</w:t>
      </w:r>
      <w:r w:rsidR="00107EBA" w:rsidRPr="00A3168A">
        <w:t xml:space="preserve"> eur </w:t>
      </w:r>
      <w:r w:rsidR="00B76A09" w:rsidRPr="00A3168A">
        <w:t>bol v roku 2020</w:t>
      </w:r>
      <w:r w:rsidR="001035FD" w:rsidRPr="00A3168A">
        <w:t xml:space="preserve"> upravený </w:t>
      </w:r>
      <w:r w:rsidR="00515408" w:rsidRPr="00A3168A">
        <w:t>7</w:t>
      </w:r>
      <w:r w:rsidR="006D2E6F" w:rsidRPr="00A3168A">
        <w:t xml:space="preserve"> rozpočtovými opatreniami </w:t>
      </w:r>
      <w:r w:rsidR="00EF7537" w:rsidRPr="00A3168A">
        <w:t>na základe žiad</w:t>
      </w:r>
      <w:r w:rsidR="006D2E6F" w:rsidRPr="00A3168A">
        <w:t>ostí</w:t>
      </w:r>
      <w:r w:rsidR="007B57E9" w:rsidRPr="00A3168A">
        <w:t xml:space="preserve"> </w:t>
      </w:r>
      <w:r w:rsidR="00515408" w:rsidRPr="00A3168A">
        <w:t xml:space="preserve">           </w:t>
      </w:r>
      <w:r w:rsidR="00F13B4F" w:rsidRPr="00A3168A">
        <w:t>zo strany Kancelárie prezidenta</w:t>
      </w:r>
      <w:r w:rsidR="006D2E6F" w:rsidRPr="00A3168A">
        <w:t>,</w:t>
      </w:r>
      <w:r w:rsidR="00D22A19" w:rsidRPr="00A3168A">
        <w:t xml:space="preserve"> </w:t>
      </w:r>
      <w:r w:rsidR="00DC53DB" w:rsidRPr="00A3168A">
        <w:t>jedným</w:t>
      </w:r>
      <w:r w:rsidR="00D22A19" w:rsidRPr="00A3168A">
        <w:t xml:space="preserve"> rozpočtov</w:t>
      </w:r>
      <w:r w:rsidR="00DC53DB" w:rsidRPr="00A3168A">
        <w:t>ým</w:t>
      </w:r>
      <w:r w:rsidR="00D22A19" w:rsidRPr="00A3168A">
        <w:t xml:space="preserve"> opatren</w:t>
      </w:r>
      <w:r w:rsidR="00DC53DB" w:rsidRPr="00A3168A">
        <w:t>ím</w:t>
      </w:r>
      <w:r w:rsidR="00D22A19" w:rsidRPr="00A3168A">
        <w:t xml:space="preserve"> zo strany </w:t>
      </w:r>
      <w:r w:rsidR="002E20A4" w:rsidRPr="00A3168A">
        <w:t>Kancelárie prezidenta</w:t>
      </w:r>
      <w:r w:rsidR="00D22A19" w:rsidRPr="00A3168A">
        <w:t xml:space="preserve">  </w:t>
      </w:r>
      <w:r w:rsidR="00D22A19" w:rsidRPr="00A3168A">
        <w:lastRenderedPageBreak/>
        <w:t>– povol</w:t>
      </w:r>
      <w:r w:rsidR="00746984" w:rsidRPr="00A3168A">
        <w:t>ené prekročenie kategórie 610 (</w:t>
      </w:r>
      <w:r w:rsidR="00D22A19" w:rsidRPr="00A3168A">
        <w:t>bližšie hodnotenie kategórie 610),</w:t>
      </w:r>
      <w:r w:rsidR="006D2E6F" w:rsidRPr="00A3168A">
        <w:t xml:space="preserve"> </w:t>
      </w:r>
      <w:r w:rsidR="00D22A19" w:rsidRPr="00A3168A">
        <w:t>ostatné presuny sa týkali interných presunov v zmysle zákona č. 523/2004 Z. z.</w:t>
      </w:r>
      <w:r w:rsidR="00526F8D">
        <w:t>.</w:t>
      </w:r>
      <w:r w:rsidR="00D22A19" w:rsidRPr="00A3168A">
        <w:t xml:space="preserve"> </w:t>
      </w:r>
    </w:p>
    <w:p w14:paraId="36D2FCE8" w14:textId="6CD89376" w:rsidR="0085405C" w:rsidRPr="007217D8" w:rsidRDefault="009D1EE8" w:rsidP="007217D8">
      <w:pPr>
        <w:ind w:firstLine="567"/>
        <w:jc w:val="both"/>
      </w:pPr>
      <w:r w:rsidRPr="00A3168A">
        <w:t xml:space="preserve">Po vykonaných opatreniach bol rozpočet bežných výdavkov upravený na sumu </w:t>
      </w:r>
      <w:r w:rsidR="00B76A09" w:rsidRPr="00A3168A">
        <w:t>5 346 584,80</w:t>
      </w:r>
      <w:r w:rsidR="001669C6" w:rsidRPr="00A3168A">
        <w:t> </w:t>
      </w:r>
      <w:r w:rsidRPr="00A3168A">
        <w:t xml:space="preserve">eur. Skutočné čerpanie bolo vo výške </w:t>
      </w:r>
      <w:r w:rsidR="008321B8" w:rsidRPr="00A3168A">
        <w:t>100</w:t>
      </w:r>
      <w:r w:rsidR="001669C6" w:rsidRPr="00A3168A">
        <w:t xml:space="preserve"> </w:t>
      </w:r>
      <w:r w:rsidR="004A1A98" w:rsidRPr="00A3168A">
        <w:t>% voči upravenému rozpočtu.</w:t>
      </w:r>
    </w:p>
    <w:p w14:paraId="6437B40D" w14:textId="77777777" w:rsidR="00C01B88" w:rsidRDefault="00C01B88" w:rsidP="00E328F6">
      <w:pPr>
        <w:jc w:val="both"/>
        <w:rPr>
          <w:b/>
        </w:rPr>
      </w:pPr>
    </w:p>
    <w:p w14:paraId="245FA276" w14:textId="1E66AE41" w:rsidR="00EB4C31" w:rsidRPr="00874698" w:rsidRDefault="004F302C" w:rsidP="00E328F6">
      <w:pPr>
        <w:jc w:val="both"/>
      </w:pPr>
      <w:r w:rsidRPr="00874698">
        <w:t xml:space="preserve">Prehľad čerpania bežných výdavkov v členení podľa </w:t>
      </w:r>
      <w:r w:rsidR="00EB4C31" w:rsidRPr="00874698">
        <w:t>jednotlivých kategórií</w:t>
      </w:r>
      <w:r w:rsidRPr="00874698">
        <w:t xml:space="preserve"> v porovnaní </w:t>
      </w:r>
    </w:p>
    <w:p w14:paraId="03E8573F" w14:textId="78777F56" w:rsidR="004F302C" w:rsidRPr="00874698" w:rsidRDefault="004F302C" w:rsidP="00E328F6">
      <w:pPr>
        <w:jc w:val="both"/>
      </w:pPr>
      <w:r w:rsidRPr="00874698">
        <w:t xml:space="preserve">so skutočnosťou </w:t>
      </w:r>
      <w:r w:rsidR="00EB4C31" w:rsidRPr="00874698">
        <w:t>bolo:</w:t>
      </w:r>
    </w:p>
    <w:p w14:paraId="1B5CF0B8" w14:textId="77777777" w:rsidR="00C01B88" w:rsidRPr="00A3168A" w:rsidRDefault="00C01B88" w:rsidP="00E328F6">
      <w:pPr>
        <w:jc w:val="both"/>
        <w:rPr>
          <w:b/>
        </w:rPr>
      </w:pPr>
    </w:p>
    <w:p w14:paraId="0367BF37" w14:textId="505F5094" w:rsidR="0051330A" w:rsidRPr="00A3168A" w:rsidRDefault="00D47587" w:rsidP="00D47587">
      <w:pPr>
        <w:jc w:val="right"/>
        <w:rPr>
          <w:i/>
        </w:rPr>
      </w:pPr>
      <w:r w:rsidRPr="00A3168A">
        <w:rPr>
          <w:i/>
        </w:rPr>
        <w:t>v eurách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524"/>
        <w:gridCol w:w="1417"/>
        <w:gridCol w:w="1418"/>
        <w:gridCol w:w="1417"/>
        <w:gridCol w:w="992"/>
        <w:gridCol w:w="840"/>
      </w:tblGrid>
      <w:tr w:rsidR="00BB41E5" w:rsidRPr="004A042D" w14:paraId="0860209D" w14:textId="77777777" w:rsidTr="00580153">
        <w:trPr>
          <w:trHeight w:val="317"/>
        </w:trPr>
        <w:tc>
          <w:tcPr>
            <w:tcW w:w="1727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5565A" w14:textId="77777777" w:rsidR="00BB41E5" w:rsidRPr="004A042D" w:rsidRDefault="00BB41E5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A042D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152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EAB77" w14:textId="7CC1B37B" w:rsidR="00BB41E5" w:rsidRPr="004A042D" w:rsidRDefault="00B76A09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Skutočnosť 2019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54B5DE" w14:textId="72ED8903" w:rsidR="00BB41E5" w:rsidRPr="004A042D" w:rsidRDefault="00B76A09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Rok 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D1E3FB" w14:textId="77777777" w:rsidR="00BB41E5" w:rsidRPr="004A042D" w:rsidRDefault="00BB41E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% plnenia k UR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240853" w14:textId="66211A47" w:rsidR="00BB41E5" w:rsidRPr="004A042D" w:rsidRDefault="00B76A09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Index 2020/</w:t>
            </w:r>
            <w:r w:rsidR="00C01B88">
              <w:rPr>
                <w:b/>
                <w:bCs/>
                <w:color w:val="000000"/>
              </w:rPr>
              <w:t xml:space="preserve"> </w:t>
            </w:r>
            <w:r w:rsidRPr="004A042D">
              <w:rPr>
                <w:b/>
                <w:bCs/>
                <w:color w:val="000000"/>
              </w:rPr>
              <w:t>2019</w:t>
            </w:r>
          </w:p>
        </w:tc>
      </w:tr>
      <w:tr w:rsidR="00C01B88" w:rsidRPr="004A042D" w14:paraId="343C870D" w14:textId="77777777" w:rsidTr="00580153">
        <w:trPr>
          <w:trHeight w:val="317"/>
        </w:trPr>
        <w:tc>
          <w:tcPr>
            <w:tcW w:w="172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6ACFCCF2" w14:textId="77777777" w:rsidR="00BB41E5" w:rsidRPr="004A042D" w:rsidRDefault="00BB41E5">
            <w:pPr>
              <w:rPr>
                <w:b/>
                <w:bCs/>
                <w:color w:val="000000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F65CAC" w14:textId="77777777" w:rsidR="00BB41E5" w:rsidRPr="004A042D" w:rsidRDefault="00BB41E5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4DF698" w14:textId="0A9D0D52" w:rsidR="00BB41E5" w:rsidRPr="004A042D" w:rsidRDefault="00BB41E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Schv.</w:t>
            </w:r>
            <w:r w:rsidR="00526F8D" w:rsidRPr="004A042D">
              <w:rPr>
                <w:b/>
                <w:bCs/>
                <w:color w:val="000000"/>
              </w:rPr>
              <w:t xml:space="preserve"> </w:t>
            </w:r>
            <w:r w:rsidRPr="004A042D">
              <w:rPr>
                <w:b/>
                <w:bCs/>
                <w:color w:val="000000"/>
              </w:rPr>
              <w:t>rozpočet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FA0354" w14:textId="77777777" w:rsidR="00BB41E5" w:rsidRPr="004A042D" w:rsidRDefault="00BB41E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Uprav. rozpočet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5E8CC1" w14:textId="77777777" w:rsidR="00BB41E5" w:rsidRPr="004A042D" w:rsidRDefault="00BB41E5">
            <w:pPr>
              <w:jc w:val="center"/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Skutočnosť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A766A" w14:textId="77777777" w:rsidR="00BB41E5" w:rsidRPr="00A41B9D" w:rsidRDefault="00BB41E5">
            <w:pPr>
              <w:rPr>
                <w:b/>
                <w:bCs/>
                <w:color w:val="000000"/>
                <w:highlight w:val="lightGray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DCA73" w14:textId="77777777" w:rsidR="00BB41E5" w:rsidRPr="00A41B9D" w:rsidRDefault="00BB41E5">
            <w:pPr>
              <w:rPr>
                <w:b/>
                <w:bCs/>
                <w:color w:val="000000"/>
                <w:highlight w:val="lightGray"/>
              </w:rPr>
            </w:pPr>
          </w:p>
        </w:tc>
      </w:tr>
      <w:tr w:rsidR="00C01B88" w:rsidRPr="004A042D" w14:paraId="2320B185" w14:textId="77777777" w:rsidTr="00580153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1115DF6F" w14:textId="77777777" w:rsidR="00B8158C" w:rsidRPr="004A042D" w:rsidRDefault="00B8158C" w:rsidP="00B8158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610 - Mzdy a OOV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F295369" w14:textId="60D22352" w:rsidR="00B8158C" w:rsidRPr="004A042D" w:rsidRDefault="00B8158C" w:rsidP="00B8158C">
            <w:pPr>
              <w:jc w:val="center"/>
              <w:rPr>
                <w:color w:val="000000"/>
              </w:rPr>
            </w:pPr>
            <w:r w:rsidRPr="004A042D">
              <w:rPr>
                <w:color w:val="000000"/>
              </w:rPr>
              <w:t>2 483 775,00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718B75" w14:textId="6542F24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2 629 287,00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D6B5" w14:textId="358E319A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2 640 663,00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9101" w14:textId="50AC9A00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2 640 663,00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B67E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FC87" w14:textId="1686FA16" w:rsidR="00B8158C" w:rsidRPr="007217D8" w:rsidRDefault="00046CC0" w:rsidP="00B8158C">
            <w:pPr>
              <w:jc w:val="right"/>
              <w:rPr>
                <w:color w:val="000000"/>
              </w:rPr>
            </w:pPr>
            <w:r w:rsidRPr="007217D8">
              <w:rPr>
                <w:color w:val="000000"/>
              </w:rPr>
              <w:t>106,32</w:t>
            </w:r>
          </w:p>
        </w:tc>
      </w:tr>
      <w:tr w:rsidR="00C01B88" w:rsidRPr="004A042D" w14:paraId="7A6FE9AC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3846F310" w14:textId="77777777" w:rsidR="00B8158C" w:rsidRPr="004A042D" w:rsidRDefault="00B8158C" w:rsidP="00B8158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620 - Poistné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4E78C0D" w14:textId="362AAFF6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928 452,05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F47D08" w14:textId="17304943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1 048 980,00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6D591F" w14:textId="01572293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1 000 599,52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00E376" w14:textId="600F835B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1 000 599,52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23009C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7DB12E1" w14:textId="1C745EF1" w:rsidR="00B8158C" w:rsidRPr="007217D8" w:rsidRDefault="00046CC0" w:rsidP="00B8158C">
            <w:pPr>
              <w:jc w:val="right"/>
              <w:rPr>
                <w:color w:val="000000"/>
              </w:rPr>
            </w:pPr>
            <w:r w:rsidRPr="007217D8">
              <w:rPr>
                <w:color w:val="000000"/>
              </w:rPr>
              <w:t>107,77</w:t>
            </w:r>
          </w:p>
        </w:tc>
      </w:tr>
      <w:tr w:rsidR="00C01B88" w:rsidRPr="004A042D" w14:paraId="26972727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32646492" w14:textId="77777777" w:rsidR="00B8158C" w:rsidRPr="004A042D" w:rsidRDefault="00B8158C" w:rsidP="00B8158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630 - Tovary a služby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072FCE5" w14:textId="070F0B99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2 112 073,78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5CBE72" w14:textId="4181523D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1 145 054,00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0312C7" w14:textId="25F4046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1 460 493,34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F41D56" w14:textId="581C69E8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1 460 482,69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1612D5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4DD3DC3" w14:textId="04225054" w:rsidR="00FA5181" w:rsidRPr="007217D8" w:rsidRDefault="00FA5181" w:rsidP="00FA5181">
            <w:pPr>
              <w:jc w:val="right"/>
              <w:rPr>
                <w:color w:val="000000"/>
              </w:rPr>
            </w:pPr>
            <w:r w:rsidRPr="007217D8">
              <w:rPr>
                <w:color w:val="000000"/>
              </w:rPr>
              <w:t>69,15</w:t>
            </w:r>
          </w:p>
        </w:tc>
      </w:tr>
      <w:tr w:rsidR="00C01B88" w:rsidRPr="004A042D" w14:paraId="0B922841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0FC5B752" w14:textId="77777777" w:rsidR="00B8158C" w:rsidRPr="004A042D" w:rsidRDefault="00B8158C" w:rsidP="00B8158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z toho: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F168873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7D7E72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6886A5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260B9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4591EB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DFBAFC1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 </w:t>
            </w:r>
          </w:p>
        </w:tc>
      </w:tr>
      <w:tr w:rsidR="00C01B88" w:rsidRPr="004A042D" w14:paraId="082E68AF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011EEE61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631 - Cestovné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AABAB86" w14:textId="5A49CBF2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162 516,02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DFF492" w14:textId="749EA82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123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B64F8F" w14:textId="73B45F45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30 195,20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16D9E6" w14:textId="44398924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30 195,20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B201D3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FFD0179" w14:textId="7B95D160" w:rsidR="00B8158C" w:rsidRPr="004A042D" w:rsidRDefault="00FA5181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18,58</w:t>
            </w:r>
          </w:p>
        </w:tc>
      </w:tr>
      <w:tr w:rsidR="00C01B88" w:rsidRPr="004A042D" w14:paraId="365D63C5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7772C05C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632 - Energie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84A91DF" w14:textId="57D2EAE9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204 948,10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CAC2A6" w14:textId="766E622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215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9A1B58" w14:textId="79A864A2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187 689,55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17CBED" w14:textId="72597A1C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187 680,14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F6E51E" w14:textId="451E22E1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99,99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4C07536" w14:textId="0D89B6CB" w:rsidR="00FA5181" w:rsidRPr="004A042D" w:rsidRDefault="00FA5181" w:rsidP="00FA5181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91,57</w:t>
            </w:r>
          </w:p>
        </w:tc>
      </w:tr>
      <w:tr w:rsidR="00C01B88" w:rsidRPr="004A042D" w14:paraId="45EF87A2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37C95D86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633 - Materiál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315B92B" w14:textId="56590C8A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352 065,41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6D7825" w14:textId="330BBEF3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132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6EEE6" w14:textId="24DC0FF5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217 119,25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279DA8" w14:textId="2CF95F82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217 119,25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D82765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56C4714" w14:textId="7C0539C8" w:rsidR="00FA5181" w:rsidRPr="004A042D" w:rsidRDefault="00FA5181" w:rsidP="00FA5181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91,57</w:t>
            </w:r>
          </w:p>
        </w:tc>
      </w:tr>
      <w:tr w:rsidR="00C01B88" w:rsidRPr="004A042D" w14:paraId="44B5A63B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113322A1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634 - Dopravné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1C4269E" w14:textId="300E7E69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55 700,78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0A7B14" w14:textId="069A7B79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40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604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6207585" w14:textId="615325F9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34 238,83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49658F" w14:textId="5718AFFA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34 238,83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C9C430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F7849D6" w14:textId="3B05E5B9" w:rsidR="00B8158C" w:rsidRPr="004A042D" w:rsidRDefault="00FA5181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61,47</w:t>
            </w:r>
          </w:p>
        </w:tc>
      </w:tr>
      <w:tr w:rsidR="00C01B88" w:rsidRPr="004A042D" w14:paraId="58D3AE4C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07B6F948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635 - Údržba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185FC73" w14:textId="1693BC10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367 150,87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329195" w14:textId="5B8FA9C8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185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07D7C0" w14:textId="7C19A228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222 807,26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EC9354" w14:textId="7C794133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222 807,26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DCC84C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99,98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0CFCC9BA" w14:textId="2D5B9E3E" w:rsidR="00B8158C" w:rsidRPr="004A042D" w:rsidRDefault="00FA5181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60,69</w:t>
            </w:r>
          </w:p>
        </w:tc>
      </w:tr>
      <w:tr w:rsidR="00C01B88" w:rsidRPr="004A042D" w14:paraId="675A1DED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4BD28F9F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636 - Nájomné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DCA3D2" w14:textId="41685008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35 479,79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85A00F" w14:textId="43D138BD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26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000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5A2117" w14:textId="74087DC2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11 665,27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B42753" w14:textId="3563FC9E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11 665,27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558F4B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7666F88D" w14:textId="454F7711" w:rsidR="00B8158C" w:rsidRPr="004A042D" w:rsidRDefault="00FA5181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32,88</w:t>
            </w:r>
          </w:p>
        </w:tc>
      </w:tr>
      <w:tr w:rsidR="00C01B88" w:rsidRPr="004A042D" w14:paraId="5195418A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073AEBBC" w14:textId="77777777" w:rsidR="00B8158C" w:rsidRPr="004A042D" w:rsidRDefault="00B8158C" w:rsidP="00B8158C">
            <w:pPr>
              <w:rPr>
                <w:color w:val="000000"/>
              </w:rPr>
            </w:pPr>
            <w:r w:rsidRPr="004A042D">
              <w:rPr>
                <w:color w:val="000000"/>
              </w:rPr>
              <w:t>637 - Služby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A724E94" w14:textId="2ED5B325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934 212,81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3D8851" w14:textId="0B791CB0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423</w:t>
            </w:r>
            <w:r w:rsidR="00855B6D" w:rsidRPr="004A042D">
              <w:rPr>
                <w:color w:val="000000"/>
              </w:rPr>
              <w:t> </w:t>
            </w:r>
            <w:r w:rsidRPr="004A042D">
              <w:rPr>
                <w:color w:val="000000"/>
              </w:rPr>
              <w:t>450</w:t>
            </w:r>
            <w:r w:rsidR="00855B6D" w:rsidRPr="004A042D">
              <w:rPr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A34B56" w14:textId="48417B1F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756 777,98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8E201F" w14:textId="72CAEF53" w:rsidR="00B8158C" w:rsidRPr="004A042D" w:rsidRDefault="002A116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756 776,74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732518" w14:textId="77777777" w:rsidR="00B8158C" w:rsidRPr="004A042D" w:rsidRDefault="00B8158C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F62EFC5" w14:textId="7D46D8C9" w:rsidR="00B8158C" w:rsidRPr="004A042D" w:rsidRDefault="00FA5181" w:rsidP="00B8158C">
            <w:pPr>
              <w:jc w:val="right"/>
              <w:rPr>
                <w:color w:val="000000"/>
              </w:rPr>
            </w:pPr>
            <w:r w:rsidRPr="004A042D">
              <w:rPr>
                <w:color w:val="000000"/>
              </w:rPr>
              <w:t>81,01</w:t>
            </w:r>
          </w:p>
        </w:tc>
      </w:tr>
      <w:tr w:rsidR="00C01B88" w:rsidRPr="004A042D" w14:paraId="76DC8AFD" w14:textId="77777777" w:rsidTr="00A41B9D">
        <w:trPr>
          <w:trHeight w:val="317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66003754" w14:textId="77777777" w:rsidR="00B8158C" w:rsidRPr="004A042D" w:rsidRDefault="00B8158C" w:rsidP="00B8158C">
            <w:pPr>
              <w:rPr>
                <w:b/>
                <w:bCs/>
                <w:color w:val="000000"/>
              </w:rPr>
            </w:pPr>
            <w:r w:rsidRPr="004A042D">
              <w:rPr>
                <w:b/>
                <w:bCs/>
                <w:color w:val="000000"/>
              </w:rPr>
              <w:t>640 - Transfery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1577672" w14:textId="32441FDF" w:rsidR="00B8158C" w:rsidRPr="00E22697" w:rsidRDefault="00B8158C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185 137,76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7C098" w14:textId="4C137C2B" w:rsidR="00B8158C" w:rsidRPr="00E22697" w:rsidRDefault="00046CC0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214</w:t>
            </w:r>
            <w:r w:rsidR="00857560" w:rsidRPr="00E22697">
              <w:rPr>
                <w:bCs/>
                <w:color w:val="000000"/>
              </w:rPr>
              <w:t> </w:t>
            </w:r>
            <w:r w:rsidRPr="00E22697">
              <w:rPr>
                <w:bCs/>
                <w:color w:val="000000"/>
              </w:rPr>
              <w:t>390</w:t>
            </w:r>
            <w:r w:rsidR="00857560" w:rsidRPr="00E22697">
              <w:rPr>
                <w:bCs/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543E24" w14:textId="2B8DB103" w:rsidR="00B8158C" w:rsidRPr="00E22697" w:rsidRDefault="00046CC0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244 828,94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E0CA63" w14:textId="31EC8E6F" w:rsidR="00B8158C" w:rsidRPr="00E22697" w:rsidRDefault="00046CC0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244 828,94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C1139B" w14:textId="77777777" w:rsidR="00B8158C" w:rsidRPr="00E22697" w:rsidRDefault="00B8158C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2C19DA68" w14:textId="51C35A9C" w:rsidR="00B8158C" w:rsidRPr="00E22697" w:rsidRDefault="00FA5181" w:rsidP="00B8158C">
            <w:pPr>
              <w:jc w:val="right"/>
              <w:rPr>
                <w:bCs/>
                <w:color w:val="000000"/>
              </w:rPr>
            </w:pPr>
            <w:r w:rsidRPr="00E22697">
              <w:rPr>
                <w:bCs/>
                <w:color w:val="000000"/>
              </w:rPr>
              <w:t>132,24</w:t>
            </w:r>
          </w:p>
        </w:tc>
      </w:tr>
      <w:tr w:rsidR="00C01B88" w:rsidRPr="004A042D" w14:paraId="0ADA7A7B" w14:textId="77777777" w:rsidTr="00A41B9D">
        <w:trPr>
          <w:trHeight w:val="332"/>
        </w:trPr>
        <w:tc>
          <w:tcPr>
            <w:tcW w:w="1727" w:type="dxa"/>
            <w:shd w:val="clear" w:color="auto" w:fill="auto"/>
            <w:noWrap/>
            <w:vAlign w:val="bottom"/>
            <w:hideMark/>
          </w:tcPr>
          <w:p w14:paraId="05CD097E" w14:textId="77777777" w:rsidR="00B8158C" w:rsidRPr="00E22697" w:rsidRDefault="00B8158C" w:rsidP="00B8158C">
            <w:pPr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600 - Bežné výdavky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5F1EABC" w14:textId="37958EAF" w:rsidR="00B8158C" w:rsidRPr="00E22697" w:rsidRDefault="00B8158C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5 709 438,59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C6FE78" w14:textId="4F4C2E45" w:rsidR="00B8158C" w:rsidRPr="00E22697" w:rsidRDefault="00046CC0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5 037</w:t>
            </w:r>
            <w:r w:rsidR="00857560" w:rsidRPr="00E22697">
              <w:rPr>
                <w:b/>
                <w:bCs/>
                <w:color w:val="000000"/>
              </w:rPr>
              <w:t> </w:t>
            </w:r>
            <w:r w:rsidRPr="00E22697">
              <w:rPr>
                <w:b/>
                <w:bCs/>
                <w:color w:val="000000"/>
              </w:rPr>
              <w:t>711</w:t>
            </w:r>
            <w:r w:rsidR="00857560" w:rsidRPr="00E22697">
              <w:rPr>
                <w:b/>
                <w:bCs/>
                <w:color w:val="00000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1D2913" w14:textId="07CC8863" w:rsidR="00B8158C" w:rsidRPr="00E22697" w:rsidRDefault="00046CC0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5 346 584,80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BD6B76" w14:textId="525253C9" w:rsidR="00B8158C" w:rsidRPr="00E22697" w:rsidRDefault="00046CC0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5 346 574,15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D05222" w14:textId="77777777" w:rsidR="00B8158C" w:rsidRPr="00E22697" w:rsidRDefault="00B8158C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9EB81AB" w14:textId="295C9B69" w:rsidR="00B8158C" w:rsidRPr="00E22697" w:rsidRDefault="00FA5181" w:rsidP="00B8158C">
            <w:pPr>
              <w:jc w:val="right"/>
              <w:rPr>
                <w:b/>
                <w:bCs/>
                <w:color w:val="000000"/>
              </w:rPr>
            </w:pPr>
            <w:r w:rsidRPr="00E22697">
              <w:rPr>
                <w:b/>
                <w:bCs/>
                <w:color w:val="000000"/>
              </w:rPr>
              <w:t>93,64</w:t>
            </w:r>
          </w:p>
        </w:tc>
      </w:tr>
    </w:tbl>
    <w:p w14:paraId="6CFF0250" w14:textId="77777777" w:rsidR="00857560" w:rsidRPr="00A3168A" w:rsidRDefault="00776011" w:rsidP="006C6D3E">
      <w:pPr>
        <w:tabs>
          <w:tab w:val="center" w:pos="0"/>
        </w:tabs>
        <w:jc w:val="both"/>
      </w:pPr>
      <w:r w:rsidRPr="00A3168A">
        <w:tab/>
      </w:r>
    </w:p>
    <w:p w14:paraId="51C96718" w14:textId="5951D8EA" w:rsidR="00971A7F" w:rsidRPr="00A3168A" w:rsidRDefault="00857560" w:rsidP="006C6D3E">
      <w:pPr>
        <w:tabs>
          <w:tab w:val="center" w:pos="0"/>
        </w:tabs>
        <w:jc w:val="both"/>
      </w:pPr>
      <w:r w:rsidRPr="00A3168A">
        <w:tab/>
      </w:r>
      <w:r w:rsidR="0032088D" w:rsidRPr="00A3168A">
        <w:t>V porovnaní s</w:t>
      </w:r>
      <w:r w:rsidR="00E84114" w:rsidRPr="00A3168A">
        <w:t> čerpaním v roku</w:t>
      </w:r>
      <w:r w:rsidR="0032088D" w:rsidRPr="00A3168A">
        <w:t xml:space="preserve"> 201</w:t>
      </w:r>
      <w:r w:rsidR="00FA5181" w:rsidRPr="00A3168A">
        <w:t>9</w:t>
      </w:r>
      <w:r w:rsidR="0032088D" w:rsidRPr="00A3168A">
        <w:t xml:space="preserve"> predstavuje čerpanie bežných výdavkov</w:t>
      </w:r>
      <w:r w:rsidR="00FA5181" w:rsidRPr="00A3168A">
        <w:t xml:space="preserve"> v roku 2020</w:t>
      </w:r>
      <w:r w:rsidR="00FD664C" w:rsidRPr="00A3168A">
        <w:t xml:space="preserve"> </w:t>
      </w:r>
      <w:r w:rsidR="00FA5181" w:rsidRPr="00A3168A">
        <w:t>pokles</w:t>
      </w:r>
      <w:r w:rsidR="00BC0696" w:rsidRPr="00A3168A">
        <w:t xml:space="preserve"> </w:t>
      </w:r>
      <w:r w:rsidR="00D75FB6" w:rsidRPr="00A3168A">
        <w:t>v</w:t>
      </w:r>
      <w:r w:rsidR="0032088D" w:rsidRPr="00A3168A">
        <w:t>o</w:t>
      </w:r>
      <w:r w:rsidR="00BD1AE9" w:rsidRPr="00A3168A">
        <w:t> </w:t>
      </w:r>
      <w:r w:rsidR="00D75FB6" w:rsidRPr="00A3168A">
        <w:t xml:space="preserve">výške </w:t>
      </w:r>
      <w:r w:rsidR="00FA5181" w:rsidRPr="00A3168A">
        <w:t>362 864,44</w:t>
      </w:r>
      <w:r w:rsidR="00586092" w:rsidRPr="00A3168A">
        <w:t xml:space="preserve"> eur.</w:t>
      </w:r>
    </w:p>
    <w:p w14:paraId="77415084" w14:textId="79486E0B" w:rsidR="00BF7B6B" w:rsidRPr="00A3168A" w:rsidRDefault="00BF7B6B" w:rsidP="006C6D3E">
      <w:pPr>
        <w:tabs>
          <w:tab w:val="center" w:pos="0"/>
        </w:tabs>
        <w:jc w:val="both"/>
        <w:rPr>
          <w:rStyle w:val="Jemnzvraznenie"/>
        </w:rPr>
      </w:pPr>
    </w:p>
    <w:p w14:paraId="0A8F1595" w14:textId="6E400031" w:rsidR="00304AA5" w:rsidRDefault="00304AA5" w:rsidP="007C6D3F">
      <w:pPr>
        <w:tabs>
          <w:tab w:val="center" w:pos="0"/>
        </w:tabs>
        <w:jc w:val="both"/>
        <w:rPr>
          <w:i/>
        </w:rPr>
      </w:pPr>
    </w:p>
    <w:p w14:paraId="28544E6A" w14:textId="1FCF8E1D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788BA1EF" w14:textId="0FA0A330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20A116F8" w14:textId="49E2E5CC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20969635" w14:textId="3F6F32E1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27FFC94A" w14:textId="61D7F6F1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352956AA" w14:textId="59C585CD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09AAF5BF" w14:textId="2A7763DF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413F3183" w14:textId="6682D888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44B9D32A" w14:textId="54E6BC6F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32D7C88A" w14:textId="66ECFF8F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2D14FF18" w14:textId="5FCA08B8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64BD6923" w14:textId="6F8ECE1B" w:rsidR="00C01B88" w:rsidRDefault="00C01B88" w:rsidP="007C6D3F">
      <w:pPr>
        <w:tabs>
          <w:tab w:val="center" w:pos="0"/>
        </w:tabs>
        <w:jc w:val="both"/>
        <w:rPr>
          <w:i/>
        </w:rPr>
      </w:pPr>
    </w:p>
    <w:p w14:paraId="5485D98B" w14:textId="77777777" w:rsidR="00C01B88" w:rsidRPr="00A3168A" w:rsidRDefault="00C01B88" w:rsidP="007C6D3F">
      <w:pPr>
        <w:tabs>
          <w:tab w:val="center" w:pos="0"/>
        </w:tabs>
        <w:jc w:val="both"/>
        <w:rPr>
          <w:i/>
        </w:rPr>
      </w:pPr>
    </w:p>
    <w:p w14:paraId="4F751D7E" w14:textId="7AD97216" w:rsidR="004F302C" w:rsidRPr="00A3168A" w:rsidRDefault="004F302C" w:rsidP="007C6D3F">
      <w:pPr>
        <w:tabs>
          <w:tab w:val="center" w:pos="0"/>
        </w:tabs>
        <w:jc w:val="both"/>
        <w:rPr>
          <w:b/>
        </w:rPr>
      </w:pPr>
      <w:r w:rsidRPr="00A3168A">
        <w:rPr>
          <w:i/>
        </w:rPr>
        <w:lastRenderedPageBreak/>
        <w:t xml:space="preserve"> </w:t>
      </w:r>
      <w:r w:rsidR="00857560" w:rsidRPr="00A3168A">
        <w:rPr>
          <w:b/>
        </w:rPr>
        <w:t>Čerpanie bežných výdavkov v kategórii 600 podľa položiek</w:t>
      </w:r>
      <w:r w:rsidRPr="00A3168A">
        <w:rPr>
          <w:b/>
        </w:rPr>
        <w:t>:</w:t>
      </w:r>
    </w:p>
    <w:p w14:paraId="5AF93DCB" w14:textId="77777777" w:rsidR="00890128" w:rsidRPr="00A3168A" w:rsidRDefault="004F302C" w:rsidP="004F302C">
      <w:pPr>
        <w:jc w:val="both"/>
        <w:rPr>
          <w:b/>
        </w:rPr>
      </w:pPr>
      <w:r w:rsidRPr="00A3168A">
        <w:rPr>
          <w:b/>
        </w:rPr>
        <w:t xml:space="preserve"> </w:t>
      </w:r>
    </w:p>
    <w:p w14:paraId="26C4787A" w14:textId="77777777" w:rsidR="00767EED" w:rsidRPr="00A3168A" w:rsidRDefault="00767EED" w:rsidP="004F302C">
      <w:pPr>
        <w:jc w:val="both"/>
        <w:rPr>
          <w:b/>
        </w:rPr>
      </w:pPr>
    </w:p>
    <w:p w14:paraId="5A4EB117" w14:textId="56F68C54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>610 – Mzdy, platy, služobné príjmy a OOV</w:t>
      </w:r>
      <w:r w:rsidRPr="00A3168A">
        <w:rPr>
          <w:sz w:val="20"/>
          <w:szCs w:val="20"/>
        </w:rPr>
        <w:t xml:space="preserve">                      Upravený rozpočet  :   </w:t>
      </w:r>
      <w:r w:rsidR="00F937A8" w:rsidRPr="00A3168A">
        <w:rPr>
          <w:sz w:val="20"/>
          <w:szCs w:val="20"/>
        </w:rPr>
        <w:t xml:space="preserve"> </w:t>
      </w:r>
      <w:r w:rsidR="00345496" w:rsidRPr="00A3168A">
        <w:rPr>
          <w:sz w:val="20"/>
          <w:szCs w:val="20"/>
        </w:rPr>
        <w:t>2 640 663</w:t>
      </w:r>
      <w:r w:rsidRPr="00A3168A">
        <w:rPr>
          <w:sz w:val="20"/>
          <w:szCs w:val="20"/>
        </w:rPr>
        <w:t xml:space="preserve"> eur</w:t>
      </w:r>
    </w:p>
    <w:p w14:paraId="17ECB838" w14:textId="55D43651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  </w:t>
      </w:r>
      <w:r w:rsidR="00A16C56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:  </w:t>
      </w:r>
      <w:r w:rsidR="00F937A8" w:rsidRPr="00A3168A">
        <w:rPr>
          <w:sz w:val="20"/>
          <w:szCs w:val="20"/>
        </w:rPr>
        <w:t xml:space="preserve"> </w:t>
      </w:r>
      <w:r w:rsidR="00526F8D">
        <w:rPr>
          <w:sz w:val="20"/>
          <w:szCs w:val="20"/>
        </w:rPr>
        <w:t xml:space="preserve"> </w:t>
      </w:r>
      <w:r w:rsidR="00345496" w:rsidRPr="00A3168A">
        <w:rPr>
          <w:sz w:val="20"/>
          <w:szCs w:val="20"/>
        </w:rPr>
        <w:t>2 640 663</w:t>
      </w:r>
      <w:r w:rsidRPr="00A3168A">
        <w:rPr>
          <w:sz w:val="20"/>
          <w:szCs w:val="20"/>
        </w:rPr>
        <w:t xml:space="preserve"> eur       </w:t>
      </w:r>
    </w:p>
    <w:p w14:paraId="6F63EF4B" w14:textId="102DBEC5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% plnenia  k UR     :           </w:t>
      </w:r>
      <w:r w:rsidR="00376C60" w:rsidRPr="00A3168A">
        <w:rPr>
          <w:sz w:val="20"/>
          <w:szCs w:val="20"/>
        </w:rPr>
        <w:t xml:space="preserve">  100</w:t>
      </w:r>
      <w:r w:rsidRPr="00A3168A">
        <w:rPr>
          <w:sz w:val="20"/>
          <w:szCs w:val="20"/>
        </w:rPr>
        <w:t xml:space="preserve"> %</w:t>
      </w:r>
    </w:p>
    <w:p w14:paraId="67DFFDDD" w14:textId="5FCFDA1E" w:rsidR="00F430FC" w:rsidRPr="00A3168A" w:rsidRDefault="004F302C" w:rsidP="0068416E">
      <w:pPr>
        <w:jc w:val="both"/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––––––––––––––––––––––––––––</w:t>
      </w:r>
      <w:r w:rsidR="0030380F" w:rsidRPr="00A3168A">
        <w:rPr>
          <w:sz w:val="20"/>
          <w:szCs w:val="20"/>
        </w:rPr>
        <w:softHyphen/>
      </w:r>
      <w:r w:rsidR="0030380F" w:rsidRPr="00A3168A">
        <w:rPr>
          <w:sz w:val="20"/>
          <w:szCs w:val="20"/>
        </w:rPr>
        <w:softHyphen/>
      </w:r>
      <w:r w:rsidR="0030380F" w:rsidRPr="00A3168A">
        <w:rPr>
          <w:sz w:val="20"/>
          <w:szCs w:val="20"/>
        </w:rPr>
        <w:softHyphen/>
      </w:r>
      <w:r w:rsidR="0030380F" w:rsidRPr="00A3168A">
        <w:rPr>
          <w:sz w:val="20"/>
          <w:szCs w:val="20"/>
        </w:rPr>
        <w:softHyphen/>
      </w:r>
      <w:r w:rsidR="0068416E" w:rsidRPr="00A3168A">
        <w:tab/>
      </w:r>
    </w:p>
    <w:p w14:paraId="171AFD9A" w14:textId="57D77EAD" w:rsidR="00F937A8" w:rsidRPr="00A3168A" w:rsidRDefault="007B1DC1" w:rsidP="00767C25">
      <w:pPr>
        <w:tabs>
          <w:tab w:val="left" w:pos="567"/>
        </w:tabs>
        <w:jc w:val="both"/>
        <w:outlineLvl w:val="0"/>
      </w:pPr>
      <w:r w:rsidRPr="00A3168A">
        <w:t xml:space="preserve">         </w:t>
      </w:r>
    </w:p>
    <w:p w14:paraId="01239A07" w14:textId="677FF7F2" w:rsidR="00DD10E6" w:rsidRPr="00A3168A" w:rsidRDefault="00DD10E6" w:rsidP="00DD10E6">
      <w:pPr>
        <w:tabs>
          <w:tab w:val="left" w:pos="567"/>
        </w:tabs>
        <w:jc w:val="right"/>
        <w:outlineLvl w:val="0"/>
        <w:rPr>
          <w:i/>
        </w:rPr>
      </w:pPr>
      <w:bookmarkStart w:id="12" w:name="_Toc71609235"/>
      <w:bookmarkStart w:id="13" w:name="_Toc71609529"/>
      <w:bookmarkStart w:id="14" w:name="_Toc71611337"/>
      <w:bookmarkStart w:id="15" w:name="_Toc71611461"/>
      <w:bookmarkStart w:id="16" w:name="_Toc71783121"/>
      <w:r w:rsidRPr="00A3168A">
        <w:rPr>
          <w:i/>
        </w:rPr>
        <w:t>v eurách</w:t>
      </w:r>
      <w:bookmarkEnd w:id="12"/>
      <w:bookmarkEnd w:id="13"/>
      <w:bookmarkEnd w:id="14"/>
      <w:bookmarkEnd w:id="15"/>
      <w:bookmarkEnd w:id="16"/>
      <w:r w:rsidRPr="00A3168A">
        <w:rPr>
          <w:i/>
        </w:rPr>
        <w:t xml:space="preserve"> </w:t>
      </w:r>
    </w:p>
    <w:tbl>
      <w:tblPr>
        <w:tblW w:w="9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6"/>
        <w:gridCol w:w="1709"/>
        <w:gridCol w:w="1710"/>
        <w:gridCol w:w="1894"/>
        <w:gridCol w:w="1744"/>
      </w:tblGrid>
      <w:tr w:rsidR="00AC6F0A" w:rsidRPr="00A3168A" w14:paraId="5636C1AD" w14:textId="77777777" w:rsidTr="00AC6F0A">
        <w:trPr>
          <w:trHeight w:val="309"/>
        </w:trPr>
        <w:tc>
          <w:tcPr>
            <w:tcW w:w="2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9345" w14:textId="77777777" w:rsidR="00AC6F0A" w:rsidRPr="00A3168A" w:rsidRDefault="00AC6F0A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34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8B8C" w14:textId="702D465B" w:rsidR="00AC6F0A" w:rsidRPr="00A3168A" w:rsidRDefault="00345496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Rozpočet 2020</w:t>
            </w:r>
          </w:p>
        </w:tc>
        <w:tc>
          <w:tcPr>
            <w:tcW w:w="18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264A" w14:textId="18814C9C" w:rsidR="00AC6F0A" w:rsidRPr="00A3168A" w:rsidRDefault="00345496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Skutočnosť 2020</w:t>
            </w:r>
          </w:p>
        </w:tc>
        <w:tc>
          <w:tcPr>
            <w:tcW w:w="17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ACDA12" w14:textId="77777777" w:rsidR="00AC6F0A" w:rsidRPr="00A3168A" w:rsidRDefault="00AC6F0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% plnenia                                k upravenému rozpočtu</w:t>
            </w:r>
          </w:p>
        </w:tc>
      </w:tr>
      <w:tr w:rsidR="00AC6F0A" w:rsidRPr="00A3168A" w14:paraId="6DD07683" w14:textId="77777777" w:rsidTr="00C01B88">
        <w:trPr>
          <w:trHeight w:val="634"/>
        </w:trPr>
        <w:tc>
          <w:tcPr>
            <w:tcW w:w="22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DB39" w14:textId="77777777" w:rsidR="00AC6F0A" w:rsidRPr="00A3168A" w:rsidRDefault="00AC6F0A">
            <w:pPr>
              <w:rPr>
                <w:b/>
                <w:bCs/>
                <w:color w:val="000000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D739" w14:textId="5FBD5E30" w:rsidR="00DD10E6" w:rsidRPr="00A3168A" w:rsidRDefault="00AC6F0A" w:rsidP="00DD10E6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Schválený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B846A" w14:textId="77777777" w:rsidR="00AC6F0A" w:rsidRPr="00A3168A" w:rsidRDefault="00AC6F0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Upravený</w:t>
            </w:r>
          </w:p>
        </w:tc>
        <w:tc>
          <w:tcPr>
            <w:tcW w:w="18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C720" w14:textId="77777777" w:rsidR="00AC6F0A" w:rsidRPr="00A3168A" w:rsidRDefault="00AC6F0A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5AF0B0" w14:textId="77777777" w:rsidR="00AC6F0A" w:rsidRPr="00A3168A" w:rsidRDefault="00AC6F0A">
            <w:pPr>
              <w:rPr>
                <w:b/>
                <w:bCs/>
                <w:color w:val="000000"/>
              </w:rPr>
            </w:pPr>
          </w:p>
        </w:tc>
      </w:tr>
      <w:tr w:rsidR="00AC6F0A" w:rsidRPr="00A3168A" w14:paraId="70DC6C7E" w14:textId="77777777" w:rsidTr="00C01B88">
        <w:trPr>
          <w:trHeight w:val="619"/>
        </w:trPr>
        <w:tc>
          <w:tcPr>
            <w:tcW w:w="2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A07EB" w14:textId="77777777" w:rsidR="00AC6F0A" w:rsidRPr="00A3168A" w:rsidRDefault="00AC6F0A">
            <w:pPr>
              <w:rPr>
                <w:color w:val="000000"/>
              </w:rPr>
            </w:pPr>
            <w:r w:rsidRPr="00A3168A">
              <w:rPr>
                <w:color w:val="000000"/>
              </w:rPr>
              <w:t>610</w:t>
            </w:r>
          </w:p>
          <w:p w14:paraId="715F72FA" w14:textId="697DBE37" w:rsidR="00AC6F0A" w:rsidRPr="00A3168A" w:rsidRDefault="00AC6F0A">
            <w:pPr>
              <w:rPr>
                <w:color w:val="000000"/>
              </w:rPr>
            </w:pPr>
            <w:r w:rsidRPr="00A3168A">
              <w:rPr>
                <w:color w:val="000000"/>
              </w:rPr>
              <w:t>mzdy, platy, služobné príjmy a OOV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D688" w14:textId="10818CD4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2 629 287,00</w:t>
            </w:r>
            <w:r w:rsidR="00AC6F0A" w:rsidRPr="00A3168A">
              <w:rPr>
                <w:color w:val="000000"/>
              </w:rPr>
              <w:t xml:space="preserve">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0709" w14:textId="77DCA5B1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2 640 663,00</w:t>
            </w:r>
            <w:r w:rsidR="00AC6F0A" w:rsidRPr="00A3168A">
              <w:rPr>
                <w:color w:val="000000"/>
              </w:rPr>
              <w:t xml:space="preserve">  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9FD6" w14:textId="7E54AD92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2 640 663</w:t>
            </w:r>
            <w:r w:rsidR="00AC6F0A" w:rsidRPr="00A3168A">
              <w:rPr>
                <w:color w:val="000000"/>
              </w:rPr>
              <w:t xml:space="preserve">,00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BE19" w14:textId="77777777" w:rsidR="00AC6F0A" w:rsidRPr="00A3168A" w:rsidRDefault="00AC6F0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100%</w:t>
            </w:r>
          </w:p>
        </w:tc>
      </w:tr>
      <w:tr w:rsidR="00AC6F0A" w:rsidRPr="00A3168A" w14:paraId="082DFCDE" w14:textId="77777777" w:rsidTr="00C01B88">
        <w:trPr>
          <w:trHeight w:val="634"/>
        </w:trPr>
        <w:tc>
          <w:tcPr>
            <w:tcW w:w="22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29E6E" w14:textId="77777777" w:rsidR="00AC6F0A" w:rsidRPr="00A3168A" w:rsidRDefault="00AC6F0A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620 </w:t>
            </w:r>
          </w:p>
          <w:p w14:paraId="533B0C71" w14:textId="01A4EA06" w:rsidR="00AC6F0A" w:rsidRPr="00A3168A" w:rsidRDefault="00AC6F0A">
            <w:pPr>
              <w:rPr>
                <w:color w:val="000000"/>
              </w:rPr>
            </w:pPr>
            <w:r w:rsidRPr="00A3168A">
              <w:rPr>
                <w:color w:val="000000"/>
              </w:rPr>
              <w:t>poistné a príspevky  do poisťovní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2FD5" w14:textId="2D4B9C8A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1 048 980</w:t>
            </w:r>
            <w:r w:rsidR="00AC6F0A" w:rsidRPr="00A3168A">
              <w:rPr>
                <w:color w:val="000000"/>
              </w:rPr>
              <w:t xml:space="preserve">,00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BD9E" w14:textId="3F0A0253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 xml:space="preserve">1 </w:t>
            </w:r>
            <w:r w:rsidR="00657DA5" w:rsidRPr="00A3168A">
              <w:rPr>
                <w:color w:val="000000"/>
              </w:rPr>
              <w:t>0</w:t>
            </w:r>
            <w:r w:rsidRPr="00A3168A">
              <w:rPr>
                <w:color w:val="000000"/>
              </w:rPr>
              <w:t>00 599,52</w:t>
            </w:r>
            <w:r w:rsidR="00AC6F0A" w:rsidRPr="00A3168A">
              <w:rPr>
                <w:color w:val="000000"/>
              </w:rPr>
              <w:t xml:space="preserve">  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3BEC" w14:textId="770E7886" w:rsidR="00AC6F0A" w:rsidRPr="00A3168A" w:rsidRDefault="00345496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 xml:space="preserve">1 </w:t>
            </w:r>
            <w:r w:rsidR="00657DA5" w:rsidRPr="00A3168A">
              <w:rPr>
                <w:color w:val="000000"/>
              </w:rPr>
              <w:t>0</w:t>
            </w:r>
            <w:r w:rsidRPr="00A3168A">
              <w:rPr>
                <w:color w:val="000000"/>
              </w:rPr>
              <w:t>00 599,52</w:t>
            </w:r>
            <w:r w:rsidR="00AC6F0A" w:rsidRPr="00A3168A">
              <w:rPr>
                <w:color w:val="000000"/>
              </w:rPr>
              <w:t xml:space="preserve">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ED1A7" w14:textId="77777777" w:rsidR="00AC6F0A" w:rsidRPr="00A3168A" w:rsidRDefault="00AC6F0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100%</w:t>
            </w:r>
          </w:p>
        </w:tc>
      </w:tr>
    </w:tbl>
    <w:p w14:paraId="62E3F95A" w14:textId="77777777" w:rsidR="0009269C" w:rsidRPr="00A3168A" w:rsidRDefault="0009269C" w:rsidP="00767C25">
      <w:pPr>
        <w:tabs>
          <w:tab w:val="left" w:pos="567"/>
        </w:tabs>
        <w:jc w:val="both"/>
        <w:outlineLvl w:val="0"/>
      </w:pPr>
    </w:p>
    <w:p w14:paraId="08FC5934" w14:textId="3F7F4CCA" w:rsidR="00325135" w:rsidRDefault="00857560" w:rsidP="00D168E0">
      <w:pPr>
        <w:tabs>
          <w:tab w:val="left" w:pos="567"/>
        </w:tabs>
        <w:jc w:val="both"/>
        <w:outlineLvl w:val="0"/>
      </w:pPr>
      <w:r w:rsidRPr="00A3168A">
        <w:tab/>
      </w:r>
      <w:bookmarkStart w:id="17" w:name="_Toc71783122"/>
      <w:r w:rsidRPr="00A3168A">
        <w:t xml:space="preserve">Zákonom o štátnom rozpočte na rok 2020 bol limit výdavkov na </w:t>
      </w:r>
      <w:bookmarkStart w:id="18" w:name="_Toc68099051"/>
      <w:bookmarkStart w:id="19" w:name="_Toc68099252"/>
      <w:bookmarkStart w:id="20" w:name="_Toc71609236"/>
      <w:bookmarkStart w:id="21" w:name="_Toc71609530"/>
      <w:bookmarkStart w:id="22" w:name="_Toc71611338"/>
      <w:bookmarkStart w:id="23" w:name="_Toc71611462"/>
      <w:r w:rsidRPr="00A3168A">
        <w:t>m</w:t>
      </w:r>
      <w:r w:rsidR="00F227EE" w:rsidRPr="00A3168A">
        <w:t>zdy, platy, služobné príjmy a ostatné osobné v</w:t>
      </w:r>
      <w:r w:rsidR="00767EED" w:rsidRPr="00A3168A">
        <w:t>yrovnania</w:t>
      </w:r>
      <w:r w:rsidRPr="00A3168A">
        <w:t xml:space="preserve"> (kód zdroja 111</w:t>
      </w:r>
      <w:r w:rsidR="0085405C" w:rsidRPr="00A3168A">
        <w:t>, položka 610</w:t>
      </w:r>
      <w:r w:rsidRPr="00A3168A">
        <w:t xml:space="preserve">) ako záväzný ukazovateľ </w:t>
      </w:r>
      <w:r w:rsidR="00FA490F" w:rsidRPr="00A3168A">
        <w:t xml:space="preserve">            </w:t>
      </w:r>
      <w:r w:rsidRPr="00A3168A">
        <w:t xml:space="preserve">vo výške </w:t>
      </w:r>
      <w:r w:rsidR="00345496" w:rsidRPr="00A3168A">
        <w:t>2 629 287</w:t>
      </w:r>
      <w:r w:rsidR="000B7493" w:rsidRPr="00A3168A">
        <w:t xml:space="preserve"> eur</w:t>
      </w:r>
      <w:r w:rsidR="009F5778" w:rsidRPr="00A3168A">
        <w:t>.</w:t>
      </w:r>
      <w:r w:rsidR="00F15E07" w:rsidRPr="00A3168A">
        <w:t xml:space="preserve"> </w:t>
      </w:r>
      <w:r w:rsidRPr="00A3168A">
        <w:t xml:space="preserve">Schválený rozpočet bol v </w:t>
      </w:r>
      <w:r w:rsidR="000B7493" w:rsidRPr="00A3168A">
        <w:t xml:space="preserve">priebehu roka </w:t>
      </w:r>
      <w:r w:rsidR="00D53B1F" w:rsidRPr="00A3168A">
        <w:t>zvýšený</w:t>
      </w:r>
      <w:r w:rsidR="00F41B5C" w:rsidRPr="00A3168A">
        <w:t xml:space="preserve"> rozpočtovým opatrením ministerstva financií</w:t>
      </w:r>
      <w:r w:rsidR="00FA490F" w:rsidRPr="00A3168A">
        <w:t xml:space="preserve"> </w:t>
      </w:r>
      <w:r w:rsidR="00F41B5C" w:rsidRPr="00A3168A">
        <w:t>(</w:t>
      </w:r>
      <w:r w:rsidR="0048396D" w:rsidRPr="00A3168A">
        <w:t>č</w:t>
      </w:r>
      <w:r w:rsidR="00F41B5C" w:rsidRPr="00A3168A">
        <w:t>.</w:t>
      </w:r>
      <w:r w:rsidR="00345496" w:rsidRPr="00A3168A">
        <w:t xml:space="preserve"> 6</w:t>
      </w:r>
      <w:r w:rsidR="00F41B5C" w:rsidRPr="00A3168A">
        <w:t>)</w:t>
      </w:r>
      <w:r w:rsidR="00AF5017" w:rsidRPr="00A3168A">
        <w:t xml:space="preserve"> v súlade </w:t>
      </w:r>
      <w:r w:rsidR="002B00FE" w:rsidRPr="00A3168A">
        <w:t>so zákonom č. 120/1993 Z. z. o platových pomeroch niektorých ústavných činiteľov Slovenskej republiky</w:t>
      </w:r>
      <w:r w:rsidR="005F2286" w:rsidRPr="00A3168A">
        <w:t>, kde</w:t>
      </w:r>
      <w:r w:rsidR="002B00FE" w:rsidRPr="00A3168A">
        <w:t xml:space="preserve"> boli zabezpečené finančné prostriedky </w:t>
      </w:r>
      <w:bookmarkEnd w:id="18"/>
      <w:bookmarkEnd w:id="19"/>
      <w:r w:rsidR="005F2286" w:rsidRPr="00A3168A">
        <w:t>súvisiace s valorizáciou platu ústavného činiteľa a prezidenta po skončení výkonu jeho funkcie účinnou od  01.01.2020.</w:t>
      </w:r>
      <w:bookmarkEnd w:id="17"/>
      <w:bookmarkEnd w:id="20"/>
      <w:bookmarkEnd w:id="21"/>
      <w:bookmarkEnd w:id="22"/>
      <w:bookmarkEnd w:id="23"/>
    </w:p>
    <w:p w14:paraId="11B1BC20" w14:textId="77777777" w:rsidR="004A042D" w:rsidRPr="00A3168A" w:rsidRDefault="004A042D" w:rsidP="00D168E0">
      <w:pPr>
        <w:tabs>
          <w:tab w:val="left" w:pos="567"/>
        </w:tabs>
        <w:jc w:val="both"/>
        <w:outlineLvl w:val="0"/>
      </w:pPr>
    </w:p>
    <w:p w14:paraId="1AE4CEEE" w14:textId="635AC41B" w:rsidR="0068416E" w:rsidRPr="00A3168A" w:rsidRDefault="00325135" w:rsidP="00D168E0">
      <w:pPr>
        <w:tabs>
          <w:tab w:val="left" w:pos="567"/>
        </w:tabs>
        <w:jc w:val="both"/>
        <w:outlineLvl w:val="0"/>
      </w:pPr>
      <w:r w:rsidRPr="00A3168A">
        <w:tab/>
      </w:r>
      <w:bookmarkStart w:id="24" w:name="_Toc68099053"/>
      <w:bookmarkStart w:id="25" w:name="_Toc68099254"/>
      <w:bookmarkStart w:id="26" w:name="_Toc71609237"/>
      <w:bookmarkStart w:id="27" w:name="_Toc71609531"/>
      <w:bookmarkStart w:id="28" w:name="_Toc71611339"/>
      <w:bookmarkStart w:id="29" w:name="_Toc71611463"/>
      <w:bookmarkStart w:id="30" w:name="_Toc71783123"/>
      <w:r w:rsidR="006A4C99" w:rsidRPr="00A3168A">
        <w:rPr>
          <w:b/>
        </w:rPr>
        <w:t>Skutočné čerpanie</w:t>
      </w:r>
      <w:r w:rsidR="006A4C99" w:rsidRPr="00A3168A">
        <w:t xml:space="preserve"> m</w:t>
      </w:r>
      <w:r w:rsidR="004F302C" w:rsidRPr="00A3168A">
        <w:t>zdov</w:t>
      </w:r>
      <w:r w:rsidR="006A4C99" w:rsidRPr="00A3168A">
        <w:t>ých</w:t>
      </w:r>
      <w:r w:rsidR="004F302C" w:rsidRPr="00A3168A">
        <w:t xml:space="preserve"> prostriedk</w:t>
      </w:r>
      <w:r w:rsidR="006A4C99" w:rsidRPr="00A3168A">
        <w:t>ov</w:t>
      </w:r>
      <w:r w:rsidR="004F302C" w:rsidRPr="00A3168A">
        <w:t xml:space="preserve"> </w:t>
      </w:r>
      <w:r w:rsidR="004F302C" w:rsidRPr="00A3168A">
        <w:rPr>
          <w:b/>
        </w:rPr>
        <w:t>k 31.12.2</w:t>
      </w:r>
      <w:r w:rsidR="00F01462" w:rsidRPr="00A3168A">
        <w:rPr>
          <w:b/>
        </w:rPr>
        <w:t>0</w:t>
      </w:r>
      <w:r w:rsidR="00746984" w:rsidRPr="00A3168A">
        <w:rPr>
          <w:b/>
        </w:rPr>
        <w:t>20</w:t>
      </w:r>
      <w:r w:rsidR="003230B1" w:rsidRPr="00A3168A">
        <w:t xml:space="preserve"> </w:t>
      </w:r>
      <w:r w:rsidR="006A4C99" w:rsidRPr="00A3168A">
        <w:t>bolo</w:t>
      </w:r>
      <w:r w:rsidR="004F302C" w:rsidRPr="00A3168A">
        <w:t xml:space="preserve"> vo výške </w:t>
      </w:r>
      <w:r w:rsidR="009D2AAD" w:rsidRPr="00A3168A">
        <w:rPr>
          <w:b/>
        </w:rPr>
        <w:t>2 640 663</w:t>
      </w:r>
      <w:r w:rsidR="004F302C" w:rsidRPr="00A3168A">
        <w:rPr>
          <w:b/>
        </w:rPr>
        <w:t xml:space="preserve"> eur</w:t>
      </w:r>
      <w:r w:rsidR="004F302C" w:rsidRPr="00A3168A">
        <w:t xml:space="preserve">, </w:t>
      </w:r>
      <w:r w:rsidR="00515408" w:rsidRPr="00A3168A">
        <w:t xml:space="preserve">      </w:t>
      </w:r>
      <w:r w:rsidR="004F302C" w:rsidRPr="00A3168A">
        <w:t xml:space="preserve">čo predstavuje </w:t>
      </w:r>
      <w:r w:rsidR="00376C60" w:rsidRPr="00A3168A">
        <w:t>100</w:t>
      </w:r>
      <w:r w:rsidR="004F302C" w:rsidRPr="00A3168A">
        <w:t xml:space="preserve"> % z ročného upraveného rozpočtu.</w:t>
      </w:r>
      <w:bookmarkEnd w:id="24"/>
      <w:bookmarkEnd w:id="25"/>
      <w:bookmarkEnd w:id="26"/>
      <w:bookmarkEnd w:id="27"/>
      <w:bookmarkEnd w:id="28"/>
      <w:bookmarkEnd w:id="29"/>
      <w:bookmarkEnd w:id="30"/>
      <w:r w:rsidR="004F302C" w:rsidRPr="00A3168A">
        <w:t xml:space="preserve"> </w:t>
      </w:r>
    </w:p>
    <w:p w14:paraId="56E34758" w14:textId="77777777" w:rsidR="00890128" w:rsidRPr="00A3168A" w:rsidRDefault="00890128" w:rsidP="0068416E">
      <w:pPr>
        <w:ind w:firstLine="567"/>
        <w:jc w:val="both"/>
      </w:pPr>
    </w:p>
    <w:p w14:paraId="6834CE5D" w14:textId="7B654A97" w:rsidR="0068416E" w:rsidRPr="00A3168A" w:rsidRDefault="004F302C" w:rsidP="0068416E">
      <w:pPr>
        <w:ind w:firstLine="567"/>
        <w:jc w:val="both"/>
      </w:pPr>
      <w:r w:rsidRPr="00A3168A">
        <w:rPr>
          <w:b/>
        </w:rPr>
        <w:t>Priemerná mesačná mzda zamestnancov</w:t>
      </w:r>
      <w:r w:rsidRPr="00A3168A">
        <w:t xml:space="preserve"> </w:t>
      </w:r>
      <w:r w:rsidR="009D2AAD" w:rsidRPr="00A3168A">
        <w:t>Kancelárie prezidenta v roku 2020</w:t>
      </w:r>
      <w:r w:rsidRPr="00A3168A">
        <w:t xml:space="preserve"> dosiahla úroveň </w:t>
      </w:r>
      <w:r w:rsidR="009D2AAD" w:rsidRPr="00A3168A">
        <w:t>2 385,00</w:t>
      </w:r>
      <w:r w:rsidRPr="00A3168A">
        <w:t xml:space="preserve"> eur</w:t>
      </w:r>
      <w:r w:rsidR="00511B1B" w:rsidRPr="00A3168A">
        <w:t xml:space="preserve"> (</w:t>
      </w:r>
      <w:r w:rsidR="00420F78" w:rsidRPr="00A3168A">
        <w:rPr>
          <w:i/>
        </w:rPr>
        <w:t xml:space="preserve">bez </w:t>
      </w:r>
      <w:r w:rsidR="00844DE7" w:rsidRPr="00A3168A">
        <w:rPr>
          <w:i/>
        </w:rPr>
        <w:t xml:space="preserve">platu </w:t>
      </w:r>
      <w:r w:rsidR="000D6437" w:rsidRPr="00A3168A">
        <w:rPr>
          <w:i/>
        </w:rPr>
        <w:t>ÚČ,</w:t>
      </w:r>
      <w:r w:rsidR="00420F78" w:rsidRPr="00A3168A">
        <w:rPr>
          <w:i/>
        </w:rPr>
        <w:t xml:space="preserve"> paušálnych náhrad </w:t>
      </w:r>
      <w:r w:rsidR="000D6437" w:rsidRPr="00A3168A">
        <w:rPr>
          <w:i/>
        </w:rPr>
        <w:t>ÚČ a VKP a bez paušálnych náhrad</w:t>
      </w:r>
      <w:r w:rsidR="00526F8D">
        <w:rPr>
          <w:i/>
        </w:rPr>
        <w:t xml:space="preserve"> </w:t>
      </w:r>
      <w:r w:rsidR="00526F8D">
        <w:rPr>
          <w:i/>
        </w:rPr>
        <w:br/>
      </w:r>
      <w:r w:rsidR="000D6437" w:rsidRPr="00A3168A">
        <w:rPr>
          <w:i/>
        </w:rPr>
        <w:t>za krízovú pohotovosť</w:t>
      </w:r>
      <w:r w:rsidR="00420F78" w:rsidRPr="00A3168A">
        <w:t>)</w:t>
      </w:r>
      <w:r w:rsidRPr="00A3168A">
        <w:t xml:space="preserve">. </w:t>
      </w:r>
    </w:p>
    <w:p w14:paraId="4CDDA5FE" w14:textId="77777777" w:rsidR="0009269C" w:rsidRPr="00A3168A" w:rsidRDefault="0009269C" w:rsidP="0068416E">
      <w:pPr>
        <w:ind w:firstLine="567"/>
        <w:jc w:val="both"/>
      </w:pPr>
    </w:p>
    <w:p w14:paraId="6E35E3CD" w14:textId="7917D846" w:rsidR="000B5CEB" w:rsidRDefault="005938D0" w:rsidP="00B3091D">
      <w:pPr>
        <w:ind w:firstLine="567"/>
        <w:jc w:val="both"/>
      </w:pPr>
      <w:r w:rsidRPr="00A3168A">
        <w:t>Na v</w:t>
      </w:r>
      <w:r w:rsidR="004F302C" w:rsidRPr="00A3168A">
        <w:t>ýšku priemernej</w:t>
      </w:r>
      <w:r w:rsidR="009D2AAD" w:rsidRPr="00A3168A">
        <w:t xml:space="preserve"> mzdy v roku 2020</w:t>
      </w:r>
      <w:r w:rsidR="004F302C" w:rsidRPr="00A3168A">
        <w:t xml:space="preserve"> </w:t>
      </w:r>
      <w:r w:rsidRPr="00A3168A">
        <w:t>mali vplyv najmä  tieto skutočnosti:</w:t>
      </w:r>
    </w:p>
    <w:p w14:paraId="22D0FD47" w14:textId="77777777" w:rsidR="00D0168D" w:rsidRPr="00A3168A" w:rsidRDefault="00D0168D" w:rsidP="00B3091D">
      <w:pPr>
        <w:ind w:firstLine="567"/>
        <w:jc w:val="both"/>
      </w:pPr>
    </w:p>
    <w:p w14:paraId="24712A35" w14:textId="53F0BB93" w:rsidR="00ED02C5" w:rsidRPr="00A3168A" w:rsidRDefault="0009269C" w:rsidP="00526F8D">
      <w:pPr>
        <w:pStyle w:val="Odsekzoznamu"/>
        <w:numPr>
          <w:ilvl w:val="3"/>
          <w:numId w:val="10"/>
        </w:numPr>
        <w:ind w:left="1134" w:hanging="284"/>
        <w:jc w:val="both"/>
      </w:pPr>
      <w:r w:rsidRPr="00A3168A">
        <w:t xml:space="preserve">výška </w:t>
      </w:r>
      <w:r w:rsidR="005938D0" w:rsidRPr="00A3168A">
        <w:t>z</w:t>
      </w:r>
      <w:r w:rsidR="00ED02C5" w:rsidRPr="00A3168A">
        <w:t>áväzn</w:t>
      </w:r>
      <w:r w:rsidRPr="00A3168A">
        <w:t>ého</w:t>
      </w:r>
      <w:r w:rsidR="00ED02C5" w:rsidRPr="00A3168A">
        <w:t xml:space="preserve"> limit</w:t>
      </w:r>
      <w:r w:rsidRPr="00A3168A">
        <w:t>u</w:t>
      </w:r>
      <w:r w:rsidR="00ED02C5" w:rsidRPr="00A3168A">
        <w:t xml:space="preserve"> mzdových prostriedkov </w:t>
      </w:r>
      <w:r w:rsidR="009D2AAD" w:rsidRPr="00A3168A">
        <w:t>na rok 2020</w:t>
      </w:r>
      <w:r w:rsidR="00440379" w:rsidRPr="00A3168A">
        <w:t xml:space="preserve"> určen</w:t>
      </w:r>
      <w:r w:rsidRPr="00A3168A">
        <w:t>á</w:t>
      </w:r>
      <w:r w:rsidR="00440379" w:rsidRPr="00A3168A">
        <w:t xml:space="preserve"> zákonom o štátnom rozpočte</w:t>
      </w:r>
      <w:r w:rsidR="009D2AAD" w:rsidRPr="00A3168A">
        <w:t xml:space="preserve"> na rok 2020</w:t>
      </w:r>
      <w:r w:rsidR="00440379" w:rsidRPr="00A3168A">
        <w:t>,</w:t>
      </w:r>
    </w:p>
    <w:p w14:paraId="246CFB1D" w14:textId="43E819A5" w:rsidR="000B5CEB" w:rsidRPr="00A3168A" w:rsidRDefault="004F302C" w:rsidP="00526F8D">
      <w:pPr>
        <w:pStyle w:val="Odsekzoznamu"/>
        <w:numPr>
          <w:ilvl w:val="0"/>
          <w:numId w:val="10"/>
        </w:numPr>
        <w:tabs>
          <w:tab w:val="left" w:pos="426"/>
        </w:tabs>
        <w:ind w:left="1134" w:hanging="284"/>
        <w:jc w:val="both"/>
      </w:pPr>
      <w:r w:rsidRPr="00A3168A">
        <w:t>vykonané rozpočtové opatreni</w:t>
      </w:r>
      <w:r w:rsidR="0019642B" w:rsidRPr="00A3168A">
        <w:t>e</w:t>
      </w:r>
      <w:r w:rsidRPr="00A3168A">
        <w:t xml:space="preserve"> v priebehu roka, ktoré sa týka</w:t>
      </w:r>
      <w:r w:rsidR="0029788B" w:rsidRPr="00A3168A">
        <w:t>l</w:t>
      </w:r>
      <w:r w:rsidR="0019642B" w:rsidRPr="00A3168A">
        <w:t>o</w:t>
      </w:r>
      <w:r w:rsidRPr="00A3168A">
        <w:t xml:space="preserve"> zvýšenia limitu mzdových prostriedkov</w:t>
      </w:r>
      <w:r w:rsidR="009F5778" w:rsidRPr="00A3168A">
        <w:t>,</w:t>
      </w:r>
    </w:p>
    <w:p w14:paraId="03EA426F" w14:textId="4D88951F" w:rsidR="00726E77" w:rsidRPr="00A3168A" w:rsidRDefault="000B5CEB" w:rsidP="00526F8D">
      <w:pPr>
        <w:pStyle w:val="Odsekzoznamu"/>
        <w:numPr>
          <w:ilvl w:val="0"/>
          <w:numId w:val="10"/>
        </w:numPr>
        <w:tabs>
          <w:tab w:val="left" w:pos="426"/>
        </w:tabs>
        <w:ind w:left="1134" w:hanging="284"/>
        <w:jc w:val="both"/>
      </w:pPr>
      <w:r w:rsidRPr="00A3168A">
        <w:t>skutočný</w:t>
      </w:r>
      <w:r w:rsidR="009D1B71" w:rsidRPr="00A3168A">
        <w:t xml:space="preserve"> </w:t>
      </w:r>
      <w:r w:rsidRPr="00A3168A">
        <w:t>stav zamestnancov</w:t>
      </w:r>
      <w:r w:rsidR="009D1B71" w:rsidRPr="00A3168A">
        <w:t>, ktorý bol nižší ako plánovaný</w:t>
      </w:r>
      <w:r w:rsidR="00726E77" w:rsidRPr="00A3168A">
        <w:t xml:space="preserve"> (</w:t>
      </w:r>
      <w:r w:rsidR="00726E77" w:rsidRPr="00A3168A">
        <w:rPr>
          <w:i/>
        </w:rPr>
        <w:t xml:space="preserve">skutočnosť </w:t>
      </w:r>
      <w:r w:rsidR="009D2AAD" w:rsidRPr="00A3168A">
        <w:rPr>
          <w:i/>
        </w:rPr>
        <w:t>90</w:t>
      </w:r>
      <w:r w:rsidR="000D2958" w:rsidRPr="00A3168A">
        <w:rPr>
          <w:i/>
        </w:rPr>
        <w:t>,</w:t>
      </w:r>
      <w:r w:rsidR="00726E77" w:rsidRPr="00A3168A">
        <w:rPr>
          <w:i/>
        </w:rPr>
        <w:t xml:space="preserve"> plánovaný 10</w:t>
      </w:r>
      <w:r w:rsidR="00FD664C" w:rsidRPr="00A3168A">
        <w:rPr>
          <w:i/>
        </w:rPr>
        <w:t>1</w:t>
      </w:r>
      <w:r w:rsidR="00726E77" w:rsidRPr="00A3168A">
        <w:t>),</w:t>
      </w:r>
    </w:p>
    <w:p w14:paraId="4D0346F5" w14:textId="77777777" w:rsidR="00D168E0" w:rsidRPr="00A3168A" w:rsidRDefault="00ED02C5" w:rsidP="00526F8D">
      <w:pPr>
        <w:pStyle w:val="Odsekzoznamu"/>
        <w:numPr>
          <w:ilvl w:val="0"/>
          <w:numId w:val="10"/>
        </w:numPr>
        <w:tabs>
          <w:tab w:val="left" w:pos="426"/>
        </w:tabs>
        <w:ind w:left="1134" w:hanging="284"/>
        <w:jc w:val="both"/>
      </w:pPr>
      <w:r w:rsidRPr="00A3168A">
        <w:t>použitie mzdových prostriedkov za neobsadené pracovné miesta.</w:t>
      </w:r>
      <w:r w:rsidR="000B5CEB" w:rsidRPr="00A3168A">
        <w:t xml:space="preserve">       </w:t>
      </w:r>
    </w:p>
    <w:p w14:paraId="40F3CCAB" w14:textId="77777777" w:rsidR="00E22697" w:rsidRDefault="000B5CEB" w:rsidP="00515408">
      <w:pPr>
        <w:tabs>
          <w:tab w:val="left" w:pos="426"/>
        </w:tabs>
        <w:jc w:val="both"/>
      </w:pPr>
      <w:r w:rsidRPr="00A3168A">
        <w:t xml:space="preserve">               </w:t>
      </w:r>
      <w:r w:rsidR="008F6639" w:rsidRPr="00A3168A">
        <w:t xml:space="preserve">     </w:t>
      </w:r>
      <w:r w:rsidRPr="00A3168A">
        <w:t xml:space="preserve">          </w:t>
      </w:r>
    </w:p>
    <w:p w14:paraId="374FE6A8" w14:textId="27D16854" w:rsidR="00F476E2" w:rsidRDefault="000B5CEB" w:rsidP="00515408">
      <w:pPr>
        <w:tabs>
          <w:tab w:val="left" w:pos="426"/>
        </w:tabs>
        <w:jc w:val="both"/>
      </w:pPr>
      <w:r w:rsidRPr="00A3168A">
        <w:t xml:space="preserve">  </w:t>
      </w:r>
    </w:p>
    <w:p w14:paraId="279C22C7" w14:textId="23BB5774" w:rsidR="00816573" w:rsidRDefault="00816573" w:rsidP="00515408">
      <w:pPr>
        <w:tabs>
          <w:tab w:val="left" w:pos="426"/>
        </w:tabs>
        <w:jc w:val="both"/>
      </w:pPr>
    </w:p>
    <w:p w14:paraId="6516CE10" w14:textId="355830F4" w:rsidR="00816573" w:rsidRDefault="00816573" w:rsidP="00515408">
      <w:pPr>
        <w:tabs>
          <w:tab w:val="left" w:pos="426"/>
        </w:tabs>
        <w:jc w:val="both"/>
      </w:pPr>
    </w:p>
    <w:p w14:paraId="135ADDDB" w14:textId="3D871E0E" w:rsidR="00816573" w:rsidRDefault="00816573" w:rsidP="00515408">
      <w:pPr>
        <w:tabs>
          <w:tab w:val="left" w:pos="426"/>
        </w:tabs>
        <w:jc w:val="both"/>
      </w:pPr>
    </w:p>
    <w:p w14:paraId="0398C2FA" w14:textId="1F07BD04" w:rsidR="00816573" w:rsidRDefault="00816573" w:rsidP="00515408">
      <w:pPr>
        <w:tabs>
          <w:tab w:val="left" w:pos="426"/>
        </w:tabs>
        <w:jc w:val="both"/>
      </w:pPr>
    </w:p>
    <w:p w14:paraId="06EAFA94" w14:textId="77777777" w:rsidR="00816573" w:rsidRPr="00A3168A" w:rsidRDefault="00816573" w:rsidP="00515408">
      <w:pPr>
        <w:tabs>
          <w:tab w:val="left" w:pos="426"/>
        </w:tabs>
        <w:jc w:val="both"/>
      </w:pPr>
    </w:p>
    <w:p w14:paraId="4A5FFAAD" w14:textId="2619654C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lastRenderedPageBreak/>
        <w:t>620 – Poistné a príspevok do poisťovní</w:t>
      </w:r>
      <w:r w:rsidRPr="00A3168A">
        <w:rPr>
          <w:sz w:val="20"/>
          <w:szCs w:val="20"/>
        </w:rPr>
        <w:t xml:space="preserve">                                Upravený rozpočet</w:t>
      </w:r>
      <w:r w:rsidRPr="00A3168A">
        <w:rPr>
          <w:sz w:val="20"/>
          <w:szCs w:val="20"/>
        </w:rPr>
        <w:tab/>
        <w:t xml:space="preserve">: </w:t>
      </w:r>
      <w:r w:rsidR="009D2AAD" w:rsidRPr="00A3168A">
        <w:rPr>
          <w:sz w:val="20"/>
          <w:szCs w:val="20"/>
        </w:rPr>
        <w:t>1 000 599,52</w:t>
      </w:r>
      <w:r w:rsidRPr="00A3168A">
        <w:rPr>
          <w:sz w:val="20"/>
          <w:szCs w:val="20"/>
        </w:rPr>
        <w:t xml:space="preserve"> eur  </w:t>
      </w:r>
    </w:p>
    <w:p w14:paraId="5F20AAAB" w14:textId="1B4B571B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</w:t>
      </w:r>
      <w:r w:rsidRPr="00A3168A">
        <w:rPr>
          <w:sz w:val="20"/>
          <w:szCs w:val="20"/>
        </w:rPr>
        <w:tab/>
        <w:t xml:space="preserve">: </w:t>
      </w:r>
      <w:r w:rsidR="009D2AAD" w:rsidRPr="00A3168A">
        <w:rPr>
          <w:sz w:val="20"/>
          <w:szCs w:val="20"/>
        </w:rPr>
        <w:t>1 000 599,52</w:t>
      </w:r>
      <w:r w:rsidRPr="00A3168A">
        <w:rPr>
          <w:sz w:val="20"/>
          <w:szCs w:val="20"/>
        </w:rPr>
        <w:t xml:space="preserve"> eur         </w:t>
      </w:r>
    </w:p>
    <w:p w14:paraId="03404A93" w14:textId="24FAAFE0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% plnenia  k UR </w:t>
      </w:r>
      <w:r w:rsidR="00CD7A5B" w:rsidRPr="00A3168A">
        <w:rPr>
          <w:sz w:val="20"/>
          <w:szCs w:val="20"/>
        </w:rPr>
        <w:tab/>
        <w:t xml:space="preserve">:        </w:t>
      </w:r>
      <w:r w:rsidR="00903257" w:rsidRPr="00A3168A">
        <w:rPr>
          <w:sz w:val="20"/>
          <w:szCs w:val="20"/>
        </w:rPr>
        <w:t>10</w:t>
      </w:r>
      <w:r w:rsidR="00650D1A" w:rsidRPr="00A3168A">
        <w:rPr>
          <w:sz w:val="20"/>
          <w:szCs w:val="20"/>
        </w:rPr>
        <w:t>0</w:t>
      </w:r>
      <w:r w:rsidRPr="00A3168A">
        <w:rPr>
          <w:sz w:val="20"/>
          <w:szCs w:val="20"/>
        </w:rPr>
        <w:t xml:space="preserve"> %</w:t>
      </w:r>
    </w:p>
    <w:p w14:paraId="5479A4D2" w14:textId="4D64DE7F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––––––––––––––––––––––––––</w:t>
      </w:r>
    </w:p>
    <w:p w14:paraId="31B88DE5" w14:textId="77777777" w:rsidR="007F6E6F" w:rsidRPr="00A3168A" w:rsidRDefault="007F6E6F" w:rsidP="004F302C">
      <w:pPr>
        <w:jc w:val="both"/>
        <w:rPr>
          <w:sz w:val="20"/>
          <w:szCs w:val="20"/>
        </w:rPr>
      </w:pPr>
    </w:p>
    <w:p w14:paraId="500CE4A8" w14:textId="3B8729DD" w:rsidR="008321B8" w:rsidRPr="00A3168A" w:rsidRDefault="004F302C" w:rsidP="00AB50BA">
      <w:pPr>
        <w:tabs>
          <w:tab w:val="left" w:pos="567"/>
        </w:tabs>
        <w:jc w:val="both"/>
      </w:pPr>
      <w:r w:rsidRPr="00A3168A">
        <w:tab/>
      </w:r>
      <w:r w:rsidR="007E7688" w:rsidRPr="00A3168A">
        <w:t>Kategória výdavkov 620</w:t>
      </w:r>
      <w:r w:rsidR="00AE0A81" w:rsidRPr="00A3168A">
        <w:t xml:space="preserve"> </w:t>
      </w:r>
      <w:r w:rsidR="00526F8D">
        <w:t>–</w:t>
      </w:r>
      <w:r w:rsidR="007E7688" w:rsidRPr="00A3168A">
        <w:t xml:space="preserve"> Poistné a príspevok do poisťovní </w:t>
      </w:r>
      <w:r w:rsidR="00FA490F" w:rsidRPr="00A3168A">
        <w:t xml:space="preserve">boli čerpané hlavne </w:t>
      </w:r>
      <w:r w:rsidR="007749C4" w:rsidRPr="00A3168A">
        <w:t xml:space="preserve">                         </w:t>
      </w:r>
      <w:r w:rsidR="00FA490F" w:rsidRPr="00A3168A">
        <w:t>v nadväznosti</w:t>
      </w:r>
      <w:r w:rsidR="007E7688" w:rsidRPr="00A3168A">
        <w:t xml:space="preserve"> na skutočn</w:t>
      </w:r>
      <w:r w:rsidR="00FA490F" w:rsidRPr="00A3168A">
        <w:t>é čerpanie kategórie 610</w:t>
      </w:r>
      <w:r w:rsidR="008F6639" w:rsidRPr="00A3168A">
        <w:t xml:space="preserve">. </w:t>
      </w:r>
      <w:r w:rsidRPr="00A3168A">
        <w:t>Kancelária prezidenta uhradila všetky odvody za svojich zamestnancov v súlade so zákonmi o zdravotnom a sociálnom poistení</w:t>
      </w:r>
      <w:r w:rsidR="00FA490F" w:rsidRPr="00A3168A">
        <w:t xml:space="preserve"> a tiež príspevok do doplnkových dôchodkových poisťovní</w:t>
      </w:r>
      <w:r w:rsidRPr="00A3168A">
        <w:t xml:space="preserve"> v sume </w:t>
      </w:r>
      <w:r w:rsidR="009D2AAD" w:rsidRPr="00A3168A">
        <w:t>1 000 599,52</w:t>
      </w:r>
      <w:r w:rsidRPr="00A3168A">
        <w:t xml:space="preserve"> eur, čo predstavuje </w:t>
      </w:r>
      <w:r w:rsidR="00650D1A" w:rsidRPr="00A3168A">
        <w:t>100</w:t>
      </w:r>
      <w:r w:rsidR="00903257" w:rsidRPr="00A3168A">
        <w:t xml:space="preserve"> %-né plnenie</w:t>
      </w:r>
      <w:r w:rsidRPr="00A3168A">
        <w:t xml:space="preserve"> v porovnaní k upravenému rozpočtu. </w:t>
      </w:r>
      <w:r w:rsidR="00264E54" w:rsidRPr="00A3168A">
        <w:t xml:space="preserve">   </w:t>
      </w:r>
      <w:r w:rsidR="000E7539" w:rsidRPr="00A3168A">
        <w:t xml:space="preserve"> </w:t>
      </w:r>
    </w:p>
    <w:p w14:paraId="620566BE" w14:textId="61C19CAC" w:rsidR="00515408" w:rsidRDefault="00515408" w:rsidP="00141C4A">
      <w:pPr>
        <w:jc w:val="both"/>
        <w:rPr>
          <w:b/>
        </w:rPr>
      </w:pPr>
    </w:p>
    <w:p w14:paraId="5BA45C0F" w14:textId="77777777" w:rsidR="00E22697" w:rsidRPr="00A3168A" w:rsidRDefault="00E22697" w:rsidP="00141C4A">
      <w:pPr>
        <w:jc w:val="both"/>
        <w:rPr>
          <w:b/>
        </w:rPr>
      </w:pPr>
    </w:p>
    <w:p w14:paraId="0C29C5F3" w14:textId="241C0555" w:rsidR="00FA6A50" w:rsidRPr="00A3168A" w:rsidRDefault="004F302C" w:rsidP="00141C4A">
      <w:pPr>
        <w:jc w:val="both"/>
        <w:rPr>
          <w:sz w:val="20"/>
          <w:szCs w:val="20"/>
        </w:rPr>
      </w:pPr>
      <w:r w:rsidRPr="00A3168A">
        <w:rPr>
          <w:b/>
        </w:rPr>
        <w:t>630 –  Tovary a služby</w:t>
      </w:r>
      <w:r w:rsidRPr="00A3168A">
        <w:rPr>
          <w:sz w:val="20"/>
          <w:szCs w:val="20"/>
        </w:rPr>
        <w:t xml:space="preserve">                                                                </w:t>
      </w:r>
    </w:p>
    <w:p w14:paraId="399BC1C9" w14:textId="4A37A1A9" w:rsidR="00141C4A" w:rsidRPr="00A3168A" w:rsidRDefault="00141C4A" w:rsidP="00141C4A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Upravený rozpočet</w:t>
      </w:r>
      <w:r w:rsidRPr="00A3168A">
        <w:rPr>
          <w:sz w:val="20"/>
          <w:szCs w:val="20"/>
        </w:rPr>
        <w:tab/>
        <w:t xml:space="preserve">:  </w:t>
      </w:r>
      <w:r w:rsidR="009D2AAD" w:rsidRPr="00A3168A">
        <w:rPr>
          <w:sz w:val="20"/>
          <w:szCs w:val="20"/>
        </w:rPr>
        <w:t>1 460 493,34</w:t>
      </w:r>
      <w:r w:rsidRPr="00A3168A">
        <w:rPr>
          <w:sz w:val="20"/>
          <w:szCs w:val="20"/>
        </w:rPr>
        <w:t xml:space="preserve"> eur</w:t>
      </w:r>
    </w:p>
    <w:p w14:paraId="276612F0" w14:textId="12D95278" w:rsidR="00141C4A" w:rsidRPr="00A3168A" w:rsidRDefault="00141C4A" w:rsidP="00141C4A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</w:t>
      </w:r>
      <w:r w:rsidRPr="00A3168A">
        <w:rPr>
          <w:sz w:val="20"/>
          <w:szCs w:val="20"/>
        </w:rPr>
        <w:tab/>
        <w:t xml:space="preserve">:  </w:t>
      </w:r>
      <w:r w:rsidR="009D2AAD" w:rsidRPr="00A3168A">
        <w:rPr>
          <w:sz w:val="20"/>
          <w:szCs w:val="20"/>
        </w:rPr>
        <w:t>1 460 482,69 </w:t>
      </w:r>
      <w:r w:rsidRPr="00A3168A">
        <w:rPr>
          <w:sz w:val="20"/>
          <w:szCs w:val="20"/>
        </w:rPr>
        <w:t xml:space="preserve">eur          </w:t>
      </w:r>
    </w:p>
    <w:p w14:paraId="11F14FA4" w14:textId="7D158C0F" w:rsidR="00141C4A" w:rsidRPr="00A3168A" w:rsidRDefault="00141C4A" w:rsidP="00141C4A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% plnenia  k UR </w:t>
      </w:r>
      <w:r w:rsidRPr="00A3168A">
        <w:rPr>
          <w:sz w:val="20"/>
          <w:szCs w:val="20"/>
        </w:rPr>
        <w:tab/>
      </w:r>
      <w:r w:rsidR="00CD7A5B" w:rsidRPr="00A3168A">
        <w:rPr>
          <w:sz w:val="20"/>
          <w:szCs w:val="20"/>
        </w:rPr>
        <w:t xml:space="preserve">:      </w:t>
      </w:r>
      <w:r w:rsidR="008F6639" w:rsidRPr="00A3168A">
        <w:rPr>
          <w:sz w:val="20"/>
          <w:szCs w:val="20"/>
        </w:rPr>
        <w:t xml:space="preserve"> </w:t>
      </w:r>
      <w:r w:rsidR="0068096C" w:rsidRPr="00A3168A">
        <w:rPr>
          <w:sz w:val="20"/>
          <w:szCs w:val="20"/>
        </w:rPr>
        <w:t xml:space="preserve">     </w:t>
      </w:r>
      <w:r w:rsidR="00CD7A5B" w:rsidRPr="00A3168A">
        <w:rPr>
          <w:sz w:val="20"/>
          <w:szCs w:val="20"/>
        </w:rPr>
        <w:t xml:space="preserve"> </w:t>
      </w:r>
      <w:r w:rsidR="0030380F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 %</w:t>
      </w:r>
    </w:p>
    <w:p w14:paraId="2FF350FE" w14:textId="61ED6A7C" w:rsidR="00D077F5" w:rsidRPr="00A3168A" w:rsidRDefault="00141C4A" w:rsidP="00141C4A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–––––––––––––––––––––––––––</w:t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  <w:r w:rsidR="0052443B" w:rsidRPr="00A3168A">
        <w:rPr>
          <w:sz w:val="20"/>
          <w:szCs w:val="20"/>
        </w:rPr>
        <w:softHyphen/>
      </w:r>
    </w:p>
    <w:p w14:paraId="2476DBFE" w14:textId="77777777" w:rsidR="007B0708" w:rsidRPr="00A3168A" w:rsidRDefault="007B0708" w:rsidP="00141C4A">
      <w:pPr>
        <w:jc w:val="both"/>
        <w:rPr>
          <w:sz w:val="20"/>
          <w:szCs w:val="20"/>
        </w:rPr>
      </w:pPr>
    </w:p>
    <w:p w14:paraId="7EE27031" w14:textId="7AE22D15" w:rsidR="00E71782" w:rsidRPr="00A3168A" w:rsidRDefault="00E71782" w:rsidP="00E71782">
      <w:pPr>
        <w:ind w:firstLine="567"/>
        <w:jc w:val="both"/>
      </w:pPr>
      <w:r w:rsidRPr="00A3168A">
        <w:t>Schválený rozpočet v kategórii 630 – Tova</w:t>
      </w:r>
      <w:r w:rsidR="009D2AAD" w:rsidRPr="00A3168A">
        <w:t>ry a služby v roku 2020</w:t>
      </w:r>
      <w:r w:rsidRPr="00A3168A">
        <w:t xml:space="preserve"> predstavoval výšku </w:t>
      </w:r>
      <w:r w:rsidR="00F74058" w:rsidRPr="00A3168A">
        <w:t>1 145 054,00</w:t>
      </w:r>
      <w:r w:rsidR="00515408" w:rsidRPr="00A3168A">
        <w:t xml:space="preserve"> bez limitu § 17 ods. 4 </w:t>
      </w:r>
      <w:r w:rsidR="00FB3C5D" w:rsidRPr="00A3168A">
        <w:t>zákona č. 523/2004 Z.</w:t>
      </w:r>
      <w:r w:rsidR="001669C6" w:rsidRPr="00A3168A">
        <w:t xml:space="preserve"> </w:t>
      </w:r>
      <w:r w:rsidR="00FB3C5D" w:rsidRPr="00A3168A">
        <w:t>z</w:t>
      </w:r>
      <w:r w:rsidR="00F74058" w:rsidRPr="00A3168A">
        <w:t xml:space="preserve">. </w:t>
      </w:r>
      <w:r w:rsidRPr="00A3168A">
        <w:t xml:space="preserve">Viacerými rozpočtovými opatreniami </w:t>
      </w:r>
      <w:r w:rsidR="00C41AE6" w:rsidRPr="00A3168A">
        <w:t xml:space="preserve">jednak </w:t>
      </w:r>
      <w:r w:rsidRPr="00A3168A">
        <w:t>na základe žiadostí</w:t>
      </w:r>
      <w:r w:rsidR="008D2659" w:rsidRPr="00A3168A">
        <w:t xml:space="preserve"> Kancelárie prezidenta</w:t>
      </w:r>
      <w:r w:rsidR="00C41AE6" w:rsidRPr="00A3168A">
        <w:t xml:space="preserve"> ako aj vnútornými presunmi</w:t>
      </w:r>
      <w:r w:rsidRPr="00A3168A">
        <w:t xml:space="preserve"> bol </w:t>
      </w:r>
      <w:r w:rsidR="00A564F4" w:rsidRPr="00A3168A">
        <w:t>upravený</w:t>
      </w:r>
      <w:r w:rsidRPr="00A3168A">
        <w:t xml:space="preserve"> na sumu </w:t>
      </w:r>
      <w:r w:rsidR="009D2AAD" w:rsidRPr="00A3168A">
        <w:t>1 460 493,34</w:t>
      </w:r>
      <w:r w:rsidR="00495FD2" w:rsidRPr="00A3168A">
        <w:t xml:space="preserve">. </w:t>
      </w:r>
      <w:r w:rsidRPr="00A3168A">
        <w:t xml:space="preserve">Skutočné čerpanie dosiahlo úroveň </w:t>
      </w:r>
      <w:r w:rsidR="0068096C" w:rsidRPr="00A3168A">
        <w:t>100</w:t>
      </w:r>
      <w:r w:rsidR="00526F8D">
        <w:t xml:space="preserve"> %</w:t>
      </w:r>
      <w:r w:rsidRPr="00A3168A">
        <w:t xml:space="preserve"> z upraveného ročného  rozpočtu. </w:t>
      </w:r>
    </w:p>
    <w:p w14:paraId="175086D8" w14:textId="21B3B5BE" w:rsidR="00E542C9" w:rsidRDefault="00E542C9" w:rsidP="00DD10E6">
      <w:pPr>
        <w:jc w:val="both"/>
      </w:pPr>
    </w:p>
    <w:p w14:paraId="064FFA51" w14:textId="2E873DFD" w:rsidR="004A042D" w:rsidRDefault="004A042D" w:rsidP="00DD10E6">
      <w:pPr>
        <w:jc w:val="both"/>
      </w:pPr>
    </w:p>
    <w:p w14:paraId="6B4FEB0D" w14:textId="527ADC77" w:rsidR="004A042D" w:rsidRPr="00A3168A" w:rsidRDefault="004A042D" w:rsidP="00DD10E6">
      <w:pPr>
        <w:jc w:val="both"/>
      </w:pPr>
    </w:p>
    <w:p w14:paraId="7E48B8BE" w14:textId="60423866" w:rsidR="009A2B70" w:rsidRPr="00A3168A" w:rsidRDefault="006D54BF" w:rsidP="006D54BF">
      <w:pPr>
        <w:ind w:firstLine="567"/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</w:t>
      </w:r>
      <w:r w:rsidR="009A2B70" w:rsidRPr="00A3168A">
        <w:rPr>
          <w:i/>
        </w:rPr>
        <w:t>v eurách</w:t>
      </w:r>
    </w:p>
    <w:tbl>
      <w:tblPr>
        <w:tblW w:w="9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0"/>
        <w:gridCol w:w="1901"/>
        <w:gridCol w:w="1901"/>
        <w:gridCol w:w="1598"/>
        <w:gridCol w:w="1598"/>
      </w:tblGrid>
      <w:tr w:rsidR="003615CB" w:rsidRPr="00A3168A" w14:paraId="56ADFD15" w14:textId="77777777" w:rsidTr="003615CB">
        <w:trPr>
          <w:trHeight w:val="285"/>
        </w:trPr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4023" w14:textId="77777777" w:rsidR="003615CB" w:rsidRPr="00A3168A" w:rsidRDefault="003615C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38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60F2" w14:textId="40596689" w:rsidR="003615CB" w:rsidRPr="00A3168A" w:rsidRDefault="00835A7C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Rozpočet 2020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02C6" w14:textId="68E37778" w:rsidR="003615CB" w:rsidRPr="00A3168A" w:rsidRDefault="00835A7C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Skutočnosť 2020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7A3E1E" w14:textId="77777777" w:rsidR="003615CB" w:rsidRPr="00A3168A" w:rsidRDefault="003615CB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% plnenia       k upravenému rozpočtu</w:t>
            </w:r>
          </w:p>
        </w:tc>
      </w:tr>
      <w:tr w:rsidR="003615CB" w:rsidRPr="00A3168A" w14:paraId="7A64F7A9" w14:textId="77777777" w:rsidTr="003615CB">
        <w:trPr>
          <w:trHeight w:val="884"/>
        </w:trPr>
        <w:tc>
          <w:tcPr>
            <w:tcW w:w="22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F5F4" w14:textId="77777777" w:rsidR="003615CB" w:rsidRPr="00A3168A" w:rsidRDefault="003615CB">
            <w:pPr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7DFD" w14:textId="77777777" w:rsidR="003615CB" w:rsidRPr="00A3168A" w:rsidRDefault="003615CB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Schválený 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1F91" w14:textId="77777777" w:rsidR="003615CB" w:rsidRPr="00A3168A" w:rsidRDefault="003615CB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Upravený</w:t>
            </w: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AA2F" w14:textId="77777777" w:rsidR="003615CB" w:rsidRPr="00A3168A" w:rsidRDefault="003615CB">
            <w:pPr>
              <w:rPr>
                <w:b/>
                <w:bCs/>
                <w:color w:val="000000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B0A2DF" w14:textId="77777777" w:rsidR="003615CB" w:rsidRPr="00A3168A" w:rsidRDefault="003615CB">
            <w:pPr>
              <w:rPr>
                <w:b/>
                <w:bCs/>
                <w:color w:val="000000"/>
              </w:rPr>
            </w:pPr>
          </w:p>
        </w:tc>
      </w:tr>
      <w:tr w:rsidR="003615CB" w:rsidRPr="00A3168A" w14:paraId="1B427220" w14:textId="77777777" w:rsidTr="00D0168D">
        <w:trPr>
          <w:trHeight w:val="34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0682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630 Tovary a služby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634D" w14:textId="13E48E2F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1 145 054</w:t>
            </w:r>
            <w:r w:rsidR="003615CB" w:rsidRPr="00A3168A">
              <w:rPr>
                <w:color w:val="000000"/>
              </w:rPr>
              <w:t>,00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2BAF" w14:textId="7A0E82E0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1 460 493,34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A094" w14:textId="12C63B4D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1 460 482,69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F3CF5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27FAC535" w14:textId="77777777" w:rsidTr="00D0168D">
        <w:trPr>
          <w:trHeight w:val="421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F769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z toho: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636B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C569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FD6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CC268" w14:textId="77777777" w:rsidR="003615CB" w:rsidRPr="00A3168A" w:rsidRDefault="003615CB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615CB" w:rsidRPr="00A3168A" w14:paraId="5B5B3DB5" w14:textId="77777777" w:rsidTr="00D0168D">
        <w:trPr>
          <w:trHeight w:val="413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4949" w14:textId="7F005971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631 </w:t>
            </w:r>
            <w:r w:rsidR="003615CB" w:rsidRPr="00A3168A">
              <w:rPr>
                <w:color w:val="000000"/>
              </w:rPr>
              <w:t>cestovné náhrady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56DB" w14:textId="04CE5D53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123 000,00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C129" w14:textId="068B76FA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30 195,20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252E" w14:textId="103AD2CC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30 195,20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5FCAC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6362BC65" w14:textId="77777777" w:rsidTr="00D0168D">
        <w:trPr>
          <w:trHeight w:val="703"/>
        </w:trPr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1FD2" w14:textId="697AEFB2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632 </w:t>
            </w:r>
            <w:r w:rsidR="003615CB" w:rsidRPr="00A3168A">
              <w:rPr>
                <w:color w:val="000000"/>
              </w:rPr>
              <w:t>energia, voda a komunikácie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97AE" w14:textId="17C7DAA9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215 000</w:t>
            </w:r>
            <w:r w:rsidR="003615CB" w:rsidRPr="00A3168A">
              <w:rPr>
                <w:color w:val="000000"/>
              </w:rPr>
              <w:t>,00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A043" w14:textId="2B98A799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187 689,55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1111" w14:textId="44B299D8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187 680,14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79F9B" w14:textId="2A947939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99,99</w:t>
            </w:r>
          </w:p>
        </w:tc>
      </w:tr>
      <w:tr w:rsidR="003615CB" w:rsidRPr="00A3168A" w14:paraId="1A170AD2" w14:textId="77777777" w:rsidTr="00D0168D">
        <w:trPr>
          <w:trHeight w:val="401"/>
        </w:trPr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6CA5" w14:textId="5C913373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633 </w:t>
            </w:r>
            <w:r w:rsidR="003615CB" w:rsidRPr="00A3168A">
              <w:rPr>
                <w:color w:val="000000"/>
              </w:rPr>
              <w:t>materiál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DCBE" w14:textId="2624CFCD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132 000,00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46F5" w14:textId="62788ADE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217 119,25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E7FD" w14:textId="75328A3E" w:rsidR="003615CB" w:rsidRPr="00A3168A" w:rsidRDefault="009D2AA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217 119,25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5BD96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2002A483" w14:textId="77777777" w:rsidTr="00D0168D">
        <w:trPr>
          <w:trHeight w:val="421"/>
        </w:trPr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E047" w14:textId="5F71CECA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634 </w:t>
            </w:r>
            <w:r w:rsidR="003615CB" w:rsidRPr="00A3168A">
              <w:rPr>
                <w:color w:val="000000"/>
              </w:rPr>
              <w:t>dopravné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A9EE" w14:textId="24ACDFFA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40 604,00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FAC2" w14:textId="46C9534B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34 238,83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CE0D" w14:textId="59E9D8A0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34 238,83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69FF1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25D14EE9" w14:textId="77777777" w:rsidTr="00D0168D">
        <w:trPr>
          <w:trHeight w:val="696"/>
        </w:trPr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05C4" w14:textId="103F11A4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635 </w:t>
            </w:r>
            <w:r w:rsidR="003615CB" w:rsidRPr="00A3168A">
              <w:rPr>
                <w:color w:val="000000"/>
              </w:rPr>
              <w:t>rutinná a štandardná údržba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F151" w14:textId="3970BA92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185 000,00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8459" w14:textId="3C4B4DD2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222 807,26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0E98" w14:textId="42B45FF9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222 807,26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7A2E8" w14:textId="239AB2E5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72C03BA0" w14:textId="77777777" w:rsidTr="007B107B">
        <w:trPr>
          <w:trHeight w:val="707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1610" w14:textId="0B7E4DAB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636 </w:t>
            </w:r>
            <w:r w:rsidR="003615CB" w:rsidRPr="00A3168A">
              <w:rPr>
                <w:color w:val="000000"/>
              </w:rPr>
              <w:t>nájomné za prenájom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4DFC" w14:textId="0A2E61BF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26 000,00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A526" w14:textId="39B25248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11 665,27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6C28" w14:textId="6E16AA58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11 665,27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E3412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615CB" w:rsidRPr="00A3168A" w14:paraId="5B0FE780" w14:textId="77777777" w:rsidTr="007B107B">
        <w:trPr>
          <w:trHeight w:val="405"/>
        </w:trPr>
        <w:tc>
          <w:tcPr>
            <w:tcW w:w="22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65F4" w14:textId="24B4A393" w:rsidR="003615CB" w:rsidRPr="00A3168A" w:rsidRDefault="00FA490F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637 </w:t>
            </w:r>
            <w:r w:rsidR="003615CB" w:rsidRPr="00A3168A">
              <w:rPr>
                <w:color w:val="000000"/>
              </w:rPr>
              <w:t>služby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3327" w14:textId="799B7209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423 450,00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667E" w14:textId="4AA5E387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756 777,98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A50C" w14:textId="31A1B080" w:rsidR="003615CB" w:rsidRPr="00A3168A" w:rsidRDefault="00835A7C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756 776,74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9CD1" w14:textId="77777777" w:rsidR="003615CB" w:rsidRPr="00A3168A" w:rsidRDefault="003615CB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</w:tbl>
    <w:p w14:paraId="7FA628BE" w14:textId="646C8808" w:rsidR="00E542C9" w:rsidRPr="00A3168A" w:rsidRDefault="00E542C9" w:rsidP="00E71782">
      <w:pPr>
        <w:ind w:firstLine="567"/>
        <w:jc w:val="both"/>
      </w:pPr>
    </w:p>
    <w:p w14:paraId="435FF069" w14:textId="23C400C9" w:rsidR="006C2A69" w:rsidRPr="00A3168A" w:rsidRDefault="006A49D3" w:rsidP="00495FD2">
      <w:pPr>
        <w:ind w:firstLine="567"/>
        <w:jc w:val="both"/>
      </w:pPr>
      <w:r w:rsidRPr="00A3168A">
        <w:t xml:space="preserve">Najväčší podiel z tejto položky predstavujú výdavky na služby </w:t>
      </w:r>
      <w:r w:rsidR="00820BA0" w:rsidRPr="00A3168A">
        <w:t>51,82</w:t>
      </w:r>
      <w:r w:rsidRPr="00A3168A">
        <w:t xml:space="preserve"> %,</w:t>
      </w:r>
      <w:r w:rsidR="0052443B" w:rsidRPr="00A3168A">
        <w:t xml:space="preserve"> materiálové výdavky </w:t>
      </w:r>
      <w:r w:rsidR="00820BA0" w:rsidRPr="00A3168A">
        <w:t>14,87</w:t>
      </w:r>
      <w:r w:rsidR="0052443B" w:rsidRPr="00A3168A">
        <w:t xml:space="preserve"> %, na energie </w:t>
      </w:r>
      <w:r w:rsidR="00820BA0" w:rsidRPr="00A3168A">
        <w:t>12,85</w:t>
      </w:r>
      <w:r w:rsidR="0052443B" w:rsidRPr="00A3168A">
        <w:t xml:space="preserve"> %,</w:t>
      </w:r>
      <w:r w:rsidRPr="00A3168A">
        <w:t xml:space="preserve"> na opravy budov, strojov a zriadení </w:t>
      </w:r>
      <w:r w:rsidR="00820BA0" w:rsidRPr="00A3168A">
        <w:t>15,26</w:t>
      </w:r>
      <w:r w:rsidR="0052443B" w:rsidRPr="00A3168A">
        <w:t xml:space="preserve"> %.</w:t>
      </w:r>
      <w:r w:rsidR="002E20A4" w:rsidRPr="00A3168A">
        <w:t xml:space="preserve"> Rozsahom nižšie</w:t>
      </w:r>
      <w:r w:rsidR="00820BA0" w:rsidRPr="00A3168A">
        <w:t>, v dôsledku pandémie nového koronavírusu</w:t>
      </w:r>
      <w:r w:rsidR="00A375C7" w:rsidRPr="00A3168A">
        <w:t xml:space="preserve"> COVID-19</w:t>
      </w:r>
      <w:r w:rsidR="00495FD2" w:rsidRPr="00A3168A">
        <w:t xml:space="preserve">, kedy boli obmedzené všetky </w:t>
      </w:r>
      <w:r w:rsidR="00495FD2" w:rsidRPr="00A3168A">
        <w:lastRenderedPageBreak/>
        <w:t>tuzemské aj zahraničné pracovné cesty</w:t>
      </w:r>
      <w:r w:rsidR="00526F8D">
        <w:t>,</w:t>
      </w:r>
      <w:r w:rsidR="00495FD2" w:rsidRPr="00A3168A">
        <w:t xml:space="preserve"> </w:t>
      </w:r>
      <w:r w:rsidRPr="00A3168A">
        <w:t xml:space="preserve">boli výdavky na cestovné </w:t>
      </w:r>
      <w:r w:rsidR="00820BA0" w:rsidRPr="00A3168A">
        <w:t>2,07</w:t>
      </w:r>
      <w:r w:rsidRPr="00A3168A">
        <w:t xml:space="preserve"> %, </w:t>
      </w:r>
      <w:r w:rsidR="00820BA0" w:rsidRPr="00A3168A">
        <w:t>nájomné 0,80</w:t>
      </w:r>
      <w:r w:rsidR="0052443B" w:rsidRPr="00A3168A">
        <w:t xml:space="preserve"> % </w:t>
      </w:r>
      <w:r w:rsidR="007749C4" w:rsidRPr="00A3168A">
        <w:t xml:space="preserve">                  </w:t>
      </w:r>
      <w:r w:rsidR="0052443B" w:rsidRPr="00A3168A">
        <w:t xml:space="preserve">a </w:t>
      </w:r>
      <w:r w:rsidRPr="00A3168A">
        <w:t>dopravné 2,</w:t>
      </w:r>
      <w:r w:rsidR="00820BA0" w:rsidRPr="00A3168A">
        <w:t>34</w:t>
      </w:r>
      <w:r w:rsidRPr="00A3168A">
        <w:t xml:space="preserve"> %</w:t>
      </w:r>
      <w:r w:rsidR="00F16FCC" w:rsidRPr="00A3168A">
        <w:t>.</w:t>
      </w:r>
    </w:p>
    <w:p w14:paraId="16ACCC93" w14:textId="77777777" w:rsidR="00FC5429" w:rsidRPr="00A3168A" w:rsidRDefault="00FC5429" w:rsidP="006C2A69">
      <w:pPr>
        <w:tabs>
          <w:tab w:val="left" w:pos="284"/>
        </w:tabs>
        <w:jc w:val="both"/>
      </w:pPr>
    </w:p>
    <w:p w14:paraId="4F34B5D3" w14:textId="28F7B2A2" w:rsidR="006C2A69" w:rsidRPr="00A3168A" w:rsidRDefault="00526F8D" w:rsidP="006C2A69">
      <w:pPr>
        <w:tabs>
          <w:tab w:val="left" w:pos="284"/>
        </w:tabs>
        <w:jc w:val="both"/>
      </w:pPr>
      <w:r>
        <w:tab/>
      </w:r>
      <w:r>
        <w:tab/>
      </w:r>
      <w:r w:rsidR="006C2A69" w:rsidRPr="00A3168A">
        <w:t xml:space="preserve">Podiel a štruktúru čerpania jednotlivých druhov tovarov a služieb zobrazuje nasledovný </w:t>
      </w:r>
      <w:r w:rsidR="00304AA5" w:rsidRPr="00A3168A">
        <w:t>graf:</w:t>
      </w:r>
    </w:p>
    <w:p w14:paraId="3F5AACB3" w14:textId="7F37F1C7" w:rsidR="006446EE" w:rsidRPr="00A3168A" w:rsidRDefault="00511B1B" w:rsidP="00304AA5">
      <w:pPr>
        <w:ind w:firstLine="567"/>
        <w:jc w:val="both"/>
      </w:pPr>
      <w:r w:rsidRPr="00A3168A">
        <w:rPr>
          <w:noProof/>
          <w:lang w:eastAsia="sk-SK"/>
        </w:rPr>
        <w:drawing>
          <wp:inline distT="0" distB="0" distL="0" distR="0" wp14:anchorId="25CF056B" wp14:editId="7ECAD34E">
            <wp:extent cx="5029200" cy="29241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ECE9BF3" w14:textId="4D63D613" w:rsidR="00FC5429" w:rsidRDefault="004F302C" w:rsidP="00F16FCC">
      <w:pPr>
        <w:jc w:val="both"/>
      </w:pPr>
      <w:r w:rsidRPr="00A3168A">
        <w:t xml:space="preserve"> </w:t>
      </w:r>
    </w:p>
    <w:p w14:paraId="0A18808E" w14:textId="77777777" w:rsidR="006E6AAE" w:rsidRDefault="006E6AAE" w:rsidP="00F16FCC">
      <w:pPr>
        <w:jc w:val="both"/>
      </w:pPr>
    </w:p>
    <w:p w14:paraId="4A284EE6" w14:textId="6B3C1BF4" w:rsidR="004A042D" w:rsidRPr="00A3168A" w:rsidRDefault="004A042D" w:rsidP="00F16FCC">
      <w:pPr>
        <w:jc w:val="both"/>
      </w:pPr>
    </w:p>
    <w:p w14:paraId="709F8A38" w14:textId="53EDA48D" w:rsidR="004F302C" w:rsidRPr="007B107B" w:rsidRDefault="004F302C" w:rsidP="00F16FCC">
      <w:pPr>
        <w:jc w:val="both"/>
        <w:rPr>
          <w:b/>
        </w:rPr>
      </w:pPr>
      <w:r w:rsidRPr="007B107B">
        <w:rPr>
          <w:b/>
        </w:rPr>
        <w:t>Čerpanie na jednotlivých položkách v kategórii 630 Tovary a služby:</w:t>
      </w:r>
    </w:p>
    <w:p w14:paraId="475263BB" w14:textId="061EF1DB" w:rsidR="004F302C" w:rsidRPr="00A3168A" w:rsidRDefault="004F302C" w:rsidP="004F302C">
      <w:pPr>
        <w:jc w:val="both"/>
        <w:rPr>
          <w:b/>
          <w:highlight w:val="yellow"/>
        </w:rPr>
      </w:pPr>
    </w:p>
    <w:p w14:paraId="1F28DC6B" w14:textId="77777777" w:rsidR="006E6AAE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>631 – Cestovné náhrady</w:t>
      </w:r>
      <w:r w:rsidRPr="00A3168A">
        <w:rPr>
          <w:sz w:val="20"/>
          <w:szCs w:val="20"/>
        </w:rPr>
        <w:t xml:space="preserve">                  </w:t>
      </w:r>
    </w:p>
    <w:p w14:paraId="3EC8E370" w14:textId="456DC4EF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         </w:t>
      </w:r>
    </w:p>
    <w:p w14:paraId="3BCA05BF" w14:textId="362F5AFB" w:rsidR="004F302C" w:rsidRPr="00A3168A" w:rsidRDefault="004F302C" w:rsidP="004F302C">
      <w:pPr>
        <w:ind w:left="3540"/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Upravený rozpočet</w:t>
      </w:r>
      <w:r w:rsidRPr="00A3168A">
        <w:rPr>
          <w:sz w:val="20"/>
          <w:szCs w:val="20"/>
        </w:rPr>
        <w:tab/>
        <w:t xml:space="preserve">  : </w:t>
      </w:r>
      <w:r w:rsidR="005621DD" w:rsidRPr="00A3168A">
        <w:rPr>
          <w:sz w:val="20"/>
          <w:szCs w:val="20"/>
        </w:rPr>
        <w:t xml:space="preserve">  </w:t>
      </w:r>
      <w:r w:rsidR="00DF3DA8" w:rsidRPr="00A3168A">
        <w:rPr>
          <w:sz w:val="20"/>
          <w:szCs w:val="20"/>
        </w:rPr>
        <w:t>30 195,20</w:t>
      </w:r>
      <w:r w:rsidRPr="00A3168A">
        <w:rPr>
          <w:sz w:val="20"/>
          <w:szCs w:val="20"/>
        </w:rPr>
        <w:t xml:space="preserve"> eur</w:t>
      </w:r>
    </w:p>
    <w:p w14:paraId="504B43DB" w14:textId="18A9B737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</w:t>
      </w:r>
      <w:r w:rsidR="00AD7D79" w:rsidRPr="00A3168A">
        <w:rPr>
          <w:b/>
        </w:rPr>
        <w:t xml:space="preserve"> </w:t>
      </w:r>
      <w:r w:rsidRPr="00A3168A">
        <w:rPr>
          <w:b/>
        </w:rPr>
        <w:t xml:space="preserve">  </w:t>
      </w:r>
      <w:r w:rsidRPr="00A3168A">
        <w:rPr>
          <w:sz w:val="20"/>
          <w:szCs w:val="20"/>
        </w:rPr>
        <w:t xml:space="preserve">Skutočnosť             :  </w:t>
      </w:r>
      <w:r w:rsidR="00433046" w:rsidRPr="00A3168A">
        <w:rPr>
          <w:sz w:val="20"/>
          <w:szCs w:val="20"/>
        </w:rPr>
        <w:t xml:space="preserve"> </w:t>
      </w:r>
      <w:r w:rsidR="005621DD" w:rsidRPr="00A3168A">
        <w:rPr>
          <w:sz w:val="20"/>
          <w:szCs w:val="20"/>
        </w:rPr>
        <w:t xml:space="preserve"> </w:t>
      </w:r>
      <w:r w:rsidR="00DF3DA8" w:rsidRPr="00A3168A">
        <w:rPr>
          <w:sz w:val="20"/>
          <w:szCs w:val="20"/>
        </w:rPr>
        <w:t>30 195,20</w:t>
      </w:r>
      <w:r w:rsidRPr="00A3168A">
        <w:rPr>
          <w:sz w:val="20"/>
          <w:szCs w:val="20"/>
        </w:rPr>
        <w:t xml:space="preserve"> eur</w:t>
      </w:r>
    </w:p>
    <w:p w14:paraId="72770FBB" w14:textId="77777777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</w:t>
      </w:r>
      <w:r w:rsidR="00AD7D79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  % plnenia  k UR    :        </w:t>
      </w:r>
      <w:r w:rsidR="006C44AC" w:rsidRPr="00A3168A">
        <w:rPr>
          <w:sz w:val="20"/>
          <w:szCs w:val="20"/>
        </w:rPr>
        <w:t xml:space="preserve">  100</w:t>
      </w:r>
      <w:r w:rsidRPr="00A3168A">
        <w:rPr>
          <w:sz w:val="20"/>
          <w:szCs w:val="20"/>
        </w:rPr>
        <w:t xml:space="preserve"> %     </w:t>
      </w:r>
    </w:p>
    <w:p w14:paraId="5CA37DB5" w14:textId="7D7581DE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––––––––––––––––––––––––––––</w:t>
      </w:r>
    </w:p>
    <w:p w14:paraId="2004279F" w14:textId="34393595" w:rsidR="00433046" w:rsidRDefault="00433046" w:rsidP="004F302C">
      <w:pPr>
        <w:jc w:val="both"/>
        <w:rPr>
          <w:sz w:val="20"/>
          <w:szCs w:val="20"/>
        </w:rPr>
      </w:pPr>
    </w:p>
    <w:p w14:paraId="11C96CCC" w14:textId="77777777" w:rsidR="006E6AAE" w:rsidRPr="00A3168A" w:rsidRDefault="006E6AAE" w:rsidP="004F302C">
      <w:pPr>
        <w:jc w:val="both"/>
        <w:rPr>
          <w:sz w:val="20"/>
          <w:szCs w:val="20"/>
        </w:rPr>
      </w:pPr>
    </w:p>
    <w:p w14:paraId="071A5D80" w14:textId="75738AEA" w:rsidR="00D21D88" w:rsidRPr="00A3168A" w:rsidRDefault="00DF3DA8" w:rsidP="004F302C">
      <w:pPr>
        <w:tabs>
          <w:tab w:val="left" w:pos="567"/>
        </w:tabs>
        <w:jc w:val="both"/>
      </w:pPr>
      <w:r w:rsidRPr="00A3168A">
        <w:tab/>
        <w:t>Cestovné náhrady za rok 2020</w:t>
      </w:r>
      <w:r w:rsidR="004F302C" w:rsidRPr="00A3168A">
        <w:t xml:space="preserve"> predstavujú </w:t>
      </w:r>
      <w:r w:rsidR="00495FD2" w:rsidRPr="00A3168A">
        <w:t>2,07</w:t>
      </w:r>
      <w:r w:rsidR="00866F68" w:rsidRPr="00A3168A">
        <w:t xml:space="preserve"> </w:t>
      </w:r>
      <w:r w:rsidR="004F302C" w:rsidRPr="00A3168A">
        <w:t xml:space="preserve">% </w:t>
      </w:r>
      <w:r w:rsidR="00EA36EE" w:rsidRPr="00A3168A">
        <w:t xml:space="preserve">vyčerpaných </w:t>
      </w:r>
      <w:r w:rsidR="004F302C" w:rsidRPr="00A3168A">
        <w:t>výdavkov rozpočtu</w:t>
      </w:r>
      <w:r w:rsidR="00205A80" w:rsidRPr="00A3168A">
        <w:t xml:space="preserve">                 </w:t>
      </w:r>
      <w:r w:rsidR="004F302C" w:rsidRPr="00A3168A">
        <w:t xml:space="preserve"> na položke 630 – Tovary a služby. Tieto výdavky tvoria náklady za ubytovanie, stravné a vreckové počas zahraničných</w:t>
      </w:r>
      <w:r w:rsidR="001A6B45" w:rsidRPr="00A3168A">
        <w:t xml:space="preserve"> a tuzemských</w:t>
      </w:r>
      <w:r w:rsidR="004F302C" w:rsidRPr="00A3168A">
        <w:t xml:space="preserve"> ciest prezidenta a zamestnancov Kancelárie prezidenta.</w:t>
      </w:r>
      <w:r w:rsidR="00E5512E" w:rsidRPr="00A3168A">
        <w:t xml:space="preserve"> </w:t>
      </w:r>
    </w:p>
    <w:p w14:paraId="629EFE01" w14:textId="77777777" w:rsidR="00433046" w:rsidRPr="00A3168A" w:rsidRDefault="00433046" w:rsidP="004F302C">
      <w:pPr>
        <w:tabs>
          <w:tab w:val="left" w:pos="567"/>
        </w:tabs>
        <w:jc w:val="both"/>
      </w:pPr>
    </w:p>
    <w:p w14:paraId="1981BBB0" w14:textId="7D0EC409" w:rsidR="007C2222" w:rsidRPr="00A3168A" w:rsidRDefault="00D21D88" w:rsidP="004F302C">
      <w:pPr>
        <w:tabs>
          <w:tab w:val="left" w:pos="567"/>
        </w:tabs>
        <w:jc w:val="both"/>
        <w:rPr>
          <w:highlight w:val="yellow"/>
        </w:rPr>
      </w:pPr>
      <w:r w:rsidRPr="00A3168A">
        <w:tab/>
      </w:r>
      <w:r w:rsidR="004F302C" w:rsidRPr="00A3168A">
        <w:t xml:space="preserve">V hodnotenom </w:t>
      </w:r>
      <w:r w:rsidRPr="00A3168A">
        <w:t>období</w:t>
      </w:r>
      <w:r w:rsidR="004F302C" w:rsidRPr="00A3168A">
        <w:t xml:space="preserve"> výdavky na tuzemské cesty predstavovali </w:t>
      </w:r>
      <w:r w:rsidR="00417458" w:rsidRPr="00A3168A">
        <w:t>8 604,66</w:t>
      </w:r>
      <w:r w:rsidR="004F302C" w:rsidRPr="00A3168A">
        <w:t xml:space="preserve"> eur, výdavky </w:t>
      </w:r>
      <w:r w:rsidR="00205A80" w:rsidRPr="00A3168A">
        <w:t xml:space="preserve">                </w:t>
      </w:r>
      <w:r w:rsidR="004F302C" w:rsidRPr="00A3168A">
        <w:t xml:space="preserve">na zahraničné cesty </w:t>
      </w:r>
      <w:r w:rsidR="00417458" w:rsidRPr="00A3168A">
        <w:t>21 590,54</w:t>
      </w:r>
      <w:r w:rsidR="004F302C" w:rsidRPr="00A3168A">
        <w:t xml:space="preserve"> eur. </w:t>
      </w:r>
    </w:p>
    <w:p w14:paraId="1421FB9E" w14:textId="77777777" w:rsidR="00433046" w:rsidRPr="00A3168A" w:rsidRDefault="00433046" w:rsidP="004F302C">
      <w:pPr>
        <w:tabs>
          <w:tab w:val="left" w:pos="567"/>
        </w:tabs>
        <w:jc w:val="both"/>
      </w:pPr>
    </w:p>
    <w:p w14:paraId="158D64B1" w14:textId="3B32902D" w:rsidR="00135D6E" w:rsidRPr="00526F8D" w:rsidRDefault="007C2222" w:rsidP="00135D6E">
      <w:pPr>
        <w:tabs>
          <w:tab w:val="left" w:pos="567"/>
        </w:tabs>
        <w:jc w:val="both"/>
        <w:rPr>
          <w:b/>
        </w:rPr>
      </w:pPr>
      <w:r w:rsidRPr="00A3168A">
        <w:t xml:space="preserve">       </w:t>
      </w:r>
      <w:r w:rsidR="00467799" w:rsidRPr="00A3168A">
        <w:tab/>
      </w:r>
      <w:r w:rsidR="004F302C" w:rsidRPr="00A3168A">
        <w:t xml:space="preserve">Výška cestovných výdavkov je priamo ovplyvnená </w:t>
      </w:r>
      <w:r w:rsidR="00526F8D">
        <w:t>programom prezidentky republiky</w:t>
      </w:r>
      <w:r w:rsidR="00417458" w:rsidRPr="00A3168A">
        <w:t>. V roku 2020</w:t>
      </w:r>
      <w:r w:rsidR="007749C4" w:rsidRPr="00A3168A">
        <w:t xml:space="preserve"> </w:t>
      </w:r>
      <w:r w:rsidR="006F2357" w:rsidRPr="00A3168A">
        <w:t>sa uskutočnili nasledovné</w:t>
      </w:r>
      <w:r w:rsidR="004F302C" w:rsidRPr="00A3168A">
        <w:t xml:space="preserve"> pracovn</w:t>
      </w:r>
      <w:r w:rsidR="006F2357" w:rsidRPr="00A3168A">
        <w:t>é</w:t>
      </w:r>
      <w:r w:rsidR="00FB3C5D" w:rsidRPr="00A3168A">
        <w:t xml:space="preserve"> a oficiálne</w:t>
      </w:r>
      <w:r w:rsidR="004F302C" w:rsidRPr="00A3168A">
        <w:t xml:space="preserve"> zahraničn</w:t>
      </w:r>
      <w:r w:rsidR="0068706D" w:rsidRPr="00A3168A">
        <w:t>é c</w:t>
      </w:r>
      <w:r w:rsidR="004F302C" w:rsidRPr="00A3168A">
        <w:t>est</w:t>
      </w:r>
      <w:r w:rsidR="0068706D" w:rsidRPr="00A3168A">
        <w:t>y</w:t>
      </w:r>
      <w:r w:rsidR="00FB3C5D" w:rsidRPr="00A3168A">
        <w:t>:</w:t>
      </w:r>
      <w:r w:rsidR="004F302C" w:rsidRPr="00A3168A">
        <w:rPr>
          <w:b/>
        </w:rPr>
        <w:t xml:space="preserve"> </w:t>
      </w:r>
      <w:r w:rsidR="00135D6E" w:rsidRPr="00A3168A">
        <w:t>Izrael</w:t>
      </w:r>
      <w:r w:rsidR="0087030A">
        <w:t xml:space="preserve"> a Poľská republika</w:t>
      </w:r>
      <w:r w:rsidR="00135D6E" w:rsidRPr="00A3168A">
        <w:t xml:space="preserve"> – spomienková ceremónia pri príležitosti 75. výročia oslobodenia koncentračného tábora Auschwitz-Birkenau, Nemecká spolková republika – účasť na Mníchovskej bezpečnostnej konferencií, Česká republika </w:t>
      </w:r>
      <w:r w:rsidR="0087030A">
        <w:t>–</w:t>
      </w:r>
      <w:r w:rsidR="00135D6E" w:rsidRPr="00A3168A">
        <w:t xml:space="preserve"> slávnostné z</w:t>
      </w:r>
      <w:r w:rsidR="0087030A">
        <w:t>hromaždenie Ústavného</w:t>
      </w:r>
      <w:r w:rsidR="00135D6E" w:rsidRPr="00A3168A">
        <w:t xml:space="preserve"> súd</w:t>
      </w:r>
      <w:r w:rsidR="0087030A">
        <w:t>u Českej republiky</w:t>
      </w:r>
      <w:r w:rsidR="00135D6E" w:rsidRPr="00A3168A">
        <w:t xml:space="preserve">, Rakúska republika – účasť na Austrian World Summit, Vatikán – oficiálna návšteva </w:t>
      </w:r>
      <w:r w:rsidR="0087030A">
        <w:t>S</w:t>
      </w:r>
      <w:r w:rsidR="00135D6E" w:rsidRPr="00A3168A">
        <w:t>vätej stolice.</w:t>
      </w:r>
    </w:p>
    <w:p w14:paraId="49766026" w14:textId="5A48799E" w:rsidR="007F6E6F" w:rsidRDefault="007F6E6F" w:rsidP="00135D6E">
      <w:pPr>
        <w:tabs>
          <w:tab w:val="left" w:pos="567"/>
        </w:tabs>
        <w:jc w:val="both"/>
      </w:pPr>
    </w:p>
    <w:p w14:paraId="296E9770" w14:textId="3BD92B79" w:rsidR="00816573" w:rsidRDefault="00816573" w:rsidP="00135D6E">
      <w:pPr>
        <w:tabs>
          <w:tab w:val="left" w:pos="567"/>
        </w:tabs>
        <w:jc w:val="both"/>
      </w:pPr>
    </w:p>
    <w:p w14:paraId="15658BAA" w14:textId="500D7268" w:rsidR="00816573" w:rsidRDefault="00816573" w:rsidP="00135D6E">
      <w:pPr>
        <w:tabs>
          <w:tab w:val="left" w:pos="567"/>
        </w:tabs>
        <w:jc w:val="both"/>
      </w:pPr>
    </w:p>
    <w:p w14:paraId="763F400A" w14:textId="70E6A529" w:rsidR="00F456C8" w:rsidRPr="00A3168A" w:rsidRDefault="00F456C8" w:rsidP="00135D6E">
      <w:pPr>
        <w:tabs>
          <w:tab w:val="left" w:pos="567"/>
        </w:tabs>
        <w:jc w:val="both"/>
      </w:pPr>
    </w:p>
    <w:p w14:paraId="10DE6267" w14:textId="77777777" w:rsidR="004F302C" w:rsidRPr="00A3168A" w:rsidRDefault="004F302C" w:rsidP="00E32B3B">
      <w:pPr>
        <w:tabs>
          <w:tab w:val="left" w:pos="567"/>
        </w:tabs>
        <w:jc w:val="both"/>
        <w:rPr>
          <w:sz w:val="20"/>
          <w:szCs w:val="20"/>
        </w:rPr>
      </w:pPr>
      <w:r w:rsidRPr="00A3168A">
        <w:rPr>
          <w:b/>
        </w:rPr>
        <w:lastRenderedPageBreak/>
        <w:t>632 – Energia, voda a komunikácie</w:t>
      </w:r>
      <w:r w:rsidRPr="00A3168A">
        <w:rPr>
          <w:sz w:val="20"/>
          <w:szCs w:val="20"/>
        </w:rPr>
        <w:t xml:space="preserve">                                             </w:t>
      </w:r>
    </w:p>
    <w:p w14:paraId="3E71D5C5" w14:textId="485E75EC" w:rsidR="004F302C" w:rsidRPr="00A3168A" w:rsidRDefault="004F302C" w:rsidP="004F302C">
      <w:pPr>
        <w:ind w:left="5664"/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Upravený rozpočet  :  </w:t>
      </w:r>
      <w:r w:rsidR="008E3995" w:rsidRPr="00A3168A">
        <w:rPr>
          <w:sz w:val="20"/>
          <w:szCs w:val="20"/>
        </w:rPr>
        <w:t xml:space="preserve"> </w:t>
      </w:r>
      <w:r w:rsidR="00F16FCC" w:rsidRPr="00A3168A">
        <w:rPr>
          <w:sz w:val="20"/>
          <w:szCs w:val="20"/>
        </w:rPr>
        <w:t xml:space="preserve"> </w:t>
      </w:r>
      <w:r w:rsidR="002F1C77" w:rsidRPr="00A3168A">
        <w:rPr>
          <w:sz w:val="20"/>
          <w:szCs w:val="20"/>
        </w:rPr>
        <w:t>187 689,55</w:t>
      </w:r>
      <w:r w:rsidRPr="00A3168A">
        <w:rPr>
          <w:sz w:val="20"/>
          <w:szCs w:val="20"/>
        </w:rPr>
        <w:t xml:space="preserve"> eur</w:t>
      </w:r>
    </w:p>
    <w:p w14:paraId="3022C3EE" w14:textId="0B72D12A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   :  </w:t>
      </w:r>
      <w:r w:rsidR="008F6639" w:rsidRPr="00A3168A">
        <w:rPr>
          <w:sz w:val="20"/>
          <w:szCs w:val="20"/>
        </w:rPr>
        <w:t xml:space="preserve"> </w:t>
      </w:r>
      <w:r w:rsidR="00271393" w:rsidRPr="00A3168A">
        <w:rPr>
          <w:sz w:val="20"/>
          <w:szCs w:val="20"/>
        </w:rPr>
        <w:t>187 680,14</w:t>
      </w:r>
      <w:r w:rsidR="00F16FCC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eur         </w:t>
      </w:r>
    </w:p>
    <w:p w14:paraId="40C34160" w14:textId="1BAED0EE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  % plnenia  k UR     :        </w:t>
      </w:r>
      <w:r w:rsidR="006C44AC" w:rsidRPr="00A3168A">
        <w:rPr>
          <w:sz w:val="20"/>
          <w:szCs w:val="20"/>
        </w:rPr>
        <w:t>100</w:t>
      </w:r>
      <w:r w:rsidR="001E0375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%</w:t>
      </w:r>
    </w:p>
    <w:p w14:paraId="7DE6F728" w14:textId="5DFD00D6" w:rsidR="009C00CA" w:rsidRPr="00A3168A" w:rsidRDefault="004F302C" w:rsidP="00BA4DE3">
      <w:pPr>
        <w:jc w:val="both"/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7C2222" w:rsidRPr="00A3168A">
        <w:rPr>
          <w:sz w:val="20"/>
          <w:szCs w:val="20"/>
        </w:rPr>
        <w:t>–––––––––––––––––––––––––––</w:t>
      </w:r>
      <w:r w:rsidRPr="00A3168A">
        <w:tab/>
      </w:r>
    </w:p>
    <w:p w14:paraId="4E160B33" w14:textId="77777777" w:rsidR="00285773" w:rsidRPr="00A3168A" w:rsidRDefault="00285773" w:rsidP="00BA4DE3">
      <w:pPr>
        <w:jc w:val="both"/>
      </w:pPr>
    </w:p>
    <w:p w14:paraId="20A4C5F3" w14:textId="68179975" w:rsidR="009C07A0" w:rsidRPr="00A3168A" w:rsidRDefault="009C00CA" w:rsidP="004F302C">
      <w:pPr>
        <w:tabs>
          <w:tab w:val="left" w:pos="567"/>
        </w:tabs>
        <w:jc w:val="both"/>
      </w:pPr>
      <w:r w:rsidRPr="00A3168A">
        <w:tab/>
      </w:r>
      <w:r w:rsidR="002D05C7" w:rsidRPr="00A3168A">
        <w:t xml:space="preserve">Táto položka obsahuje výdavky za všetky druhy energií (elektrickú </w:t>
      </w:r>
      <w:r w:rsidR="00FB3C5D" w:rsidRPr="00A3168A">
        <w:t>en</w:t>
      </w:r>
      <w:r w:rsidR="00A1265E" w:rsidRPr="00A3168A">
        <w:t xml:space="preserve">ergiu a plyn), vodné a stočné, </w:t>
      </w:r>
      <w:r w:rsidR="007D7519" w:rsidRPr="00A3168A">
        <w:t xml:space="preserve">výdavky na </w:t>
      </w:r>
      <w:r w:rsidR="00467799" w:rsidRPr="00A3168A">
        <w:t>poštov</w:t>
      </w:r>
      <w:r w:rsidR="000164C3" w:rsidRPr="00A3168A">
        <w:t>é a kuriérske služby</w:t>
      </w:r>
      <w:r w:rsidR="00467799" w:rsidRPr="00A3168A">
        <w:t xml:space="preserve">, </w:t>
      </w:r>
      <w:r w:rsidR="00893562" w:rsidRPr="00A3168A">
        <w:t>telekomunikačné služby</w:t>
      </w:r>
      <w:r w:rsidR="007D7519" w:rsidRPr="00A3168A">
        <w:t>,</w:t>
      </w:r>
      <w:r w:rsidR="00D21D88" w:rsidRPr="00A3168A">
        <w:t xml:space="preserve"> </w:t>
      </w:r>
      <w:r w:rsidR="000164C3" w:rsidRPr="00A3168A">
        <w:t>komunikačnú infraštruktúru vo všetkých objektoch v správe Kancelárie prezidenta.</w:t>
      </w:r>
      <w:r w:rsidR="002D05C7" w:rsidRPr="00A3168A">
        <w:t xml:space="preserve"> </w:t>
      </w:r>
      <w:r w:rsidR="00271393" w:rsidRPr="00A3168A">
        <w:t xml:space="preserve">Výdavky na tejto položke predstavujú 12,85 % z čerpania kategórie 630 – Tovary a služby. </w:t>
      </w:r>
      <w:r w:rsidR="00126F73" w:rsidRPr="00A3168A">
        <w:tab/>
      </w:r>
      <w:r w:rsidR="00ED668A" w:rsidRPr="00A3168A">
        <w:t xml:space="preserve">                                                          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640"/>
        <w:gridCol w:w="1640"/>
        <w:gridCol w:w="2360"/>
      </w:tblGrid>
      <w:tr w:rsidR="00D3531A" w:rsidRPr="00A3168A" w14:paraId="57671397" w14:textId="77777777" w:rsidTr="00D3531A">
        <w:trPr>
          <w:trHeight w:val="33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2FF1" w14:textId="77777777" w:rsidR="00D3531A" w:rsidRPr="00A3168A" w:rsidRDefault="00D3531A">
            <w:pPr>
              <w:rPr>
                <w:szCs w:val="2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05F8" w14:textId="77777777" w:rsidR="00D3531A" w:rsidRPr="00A3168A" w:rsidRDefault="00D3531A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D7A1" w14:textId="77777777" w:rsidR="00D3531A" w:rsidRPr="00A3168A" w:rsidRDefault="00D3531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8D439" w14:textId="33ABEC49" w:rsidR="00FB3C5D" w:rsidRPr="00A3168A" w:rsidRDefault="00FB3C5D" w:rsidP="00816573">
            <w:pPr>
              <w:rPr>
                <w:i/>
                <w:color w:val="000000"/>
              </w:rPr>
            </w:pPr>
          </w:p>
          <w:p w14:paraId="0FE821D8" w14:textId="479E0D80" w:rsidR="00D3531A" w:rsidRPr="00A3168A" w:rsidRDefault="00D3531A">
            <w:pPr>
              <w:jc w:val="right"/>
              <w:rPr>
                <w:i/>
                <w:color w:val="000000"/>
              </w:rPr>
            </w:pPr>
            <w:r w:rsidRPr="00A3168A">
              <w:rPr>
                <w:i/>
                <w:color w:val="000000"/>
              </w:rPr>
              <w:t>v eurách</w:t>
            </w:r>
          </w:p>
        </w:tc>
      </w:tr>
      <w:tr w:rsidR="00D3531A" w:rsidRPr="00A3168A" w14:paraId="19FEB73F" w14:textId="77777777" w:rsidTr="00D3531A">
        <w:trPr>
          <w:trHeight w:val="570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6392" w14:textId="77777777" w:rsidR="00D3531A" w:rsidRPr="00A3168A" w:rsidRDefault="00D3531A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Druh výdavku 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981B" w14:textId="77777777" w:rsidR="00D3531A" w:rsidRPr="00A3168A" w:rsidRDefault="00D3531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rok 2019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02E7" w14:textId="77777777" w:rsidR="00D3531A" w:rsidRPr="00A3168A" w:rsidRDefault="00D3531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rok 2020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F0926" w14:textId="77777777" w:rsidR="00D3531A" w:rsidRPr="00A3168A" w:rsidRDefault="00D3531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Rozdiel 2020 - 2019</w:t>
            </w:r>
          </w:p>
        </w:tc>
      </w:tr>
      <w:tr w:rsidR="00D3531A" w:rsidRPr="00A3168A" w14:paraId="6537B079" w14:textId="77777777" w:rsidTr="00D3531A">
        <w:trPr>
          <w:trHeight w:val="31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A774" w14:textId="77777777" w:rsidR="00D3531A" w:rsidRPr="00A3168A" w:rsidRDefault="00D3531A">
            <w:pPr>
              <w:rPr>
                <w:color w:val="000000"/>
              </w:rPr>
            </w:pPr>
            <w:r w:rsidRPr="00A3168A">
              <w:rPr>
                <w:color w:val="000000"/>
              </w:rPr>
              <w:t>energie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F67E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134 715,75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0216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116 694,73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1D650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-18 021,02</w:t>
            </w:r>
          </w:p>
        </w:tc>
      </w:tr>
      <w:tr w:rsidR="00D3531A" w:rsidRPr="00A3168A" w14:paraId="58D057BE" w14:textId="77777777" w:rsidTr="00D3531A">
        <w:trPr>
          <w:trHeight w:val="31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0413" w14:textId="77777777" w:rsidR="00D3531A" w:rsidRPr="00A3168A" w:rsidRDefault="00D3531A">
            <w:pPr>
              <w:rPr>
                <w:color w:val="000000"/>
              </w:rPr>
            </w:pPr>
            <w:r w:rsidRPr="00A3168A">
              <w:rPr>
                <w:color w:val="000000"/>
              </w:rPr>
              <w:t>vodné, stočné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18E0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13 789,93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509E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13 431,46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FB85B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-358,47</w:t>
            </w:r>
          </w:p>
        </w:tc>
      </w:tr>
      <w:tr w:rsidR="00D3531A" w:rsidRPr="00A3168A" w14:paraId="6E156460" w14:textId="77777777" w:rsidTr="00D3531A">
        <w:trPr>
          <w:trHeight w:val="31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0850" w14:textId="77777777" w:rsidR="00D3531A" w:rsidRPr="00A3168A" w:rsidRDefault="00D3531A">
            <w:pPr>
              <w:rPr>
                <w:color w:val="000000"/>
              </w:rPr>
            </w:pPr>
            <w:r w:rsidRPr="00A3168A">
              <w:rPr>
                <w:color w:val="000000"/>
              </w:rPr>
              <w:t>poštové  služby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BB4F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5 557,62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7BCD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12 523,11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2207F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6 965,49</w:t>
            </w:r>
          </w:p>
        </w:tc>
      </w:tr>
      <w:tr w:rsidR="00D3531A" w:rsidRPr="00A3168A" w14:paraId="3227F59C" w14:textId="77777777" w:rsidTr="00D3531A">
        <w:trPr>
          <w:trHeight w:val="31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B893" w14:textId="77777777" w:rsidR="00D3531A" w:rsidRPr="00A3168A" w:rsidRDefault="00D3531A">
            <w:pPr>
              <w:rPr>
                <w:color w:val="000000"/>
              </w:rPr>
            </w:pPr>
            <w:r w:rsidRPr="00A3168A">
              <w:rPr>
                <w:color w:val="000000"/>
              </w:rPr>
              <w:t>komunikačná infraštruktúra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96D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14 902,52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53544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14 550,09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91CF1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-352,43</w:t>
            </w:r>
          </w:p>
        </w:tc>
      </w:tr>
      <w:tr w:rsidR="00D3531A" w:rsidRPr="00A3168A" w14:paraId="6C688FC0" w14:textId="77777777" w:rsidTr="00D3531A">
        <w:trPr>
          <w:trHeight w:val="315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3405" w14:textId="77777777" w:rsidR="00D3531A" w:rsidRPr="00A3168A" w:rsidRDefault="00D3531A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telekomunikačné služby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6F33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35 982,28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A0AA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30 480,75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468E2" w14:textId="77777777" w:rsidR="00D3531A" w:rsidRPr="00A3168A" w:rsidRDefault="00D3531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-5 501,53</w:t>
            </w:r>
          </w:p>
        </w:tc>
      </w:tr>
      <w:tr w:rsidR="00D3531A" w:rsidRPr="00A3168A" w14:paraId="51E550E0" w14:textId="77777777" w:rsidTr="00D3531A">
        <w:trPr>
          <w:trHeight w:val="33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96F0" w14:textId="77777777" w:rsidR="00D3531A" w:rsidRPr="00A3168A" w:rsidRDefault="00D3531A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Spolu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351A" w14:textId="77777777" w:rsidR="00D3531A" w:rsidRPr="00A3168A" w:rsidRDefault="00D3531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204 948,10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FDF8" w14:textId="77777777" w:rsidR="00D3531A" w:rsidRPr="00A3168A" w:rsidRDefault="00D3531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187 680,14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6BD35" w14:textId="77777777" w:rsidR="00D3531A" w:rsidRPr="00A3168A" w:rsidRDefault="00D3531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-17 267,96</w:t>
            </w:r>
          </w:p>
        </w:tc>
      </w:tr>
    </w:tbl>
    <w:p w14:paraId="316164EC" w14:textId="77777777" w:rsidR="00FE5C7A" w:rsidRPr="00A3168A" w:rsidRDefault="009C07A0" w:rsidP="004F302C">
      <w:pPr>
        <w:tabs>
          <w:tab w:val="left" w:pos="567"/>
        </w:tabs>
        <w:jc w:val="both"/>
      </w:pPr>
      <w:r w:rsidRPr="00A3168A">
        <w:t xml:space="preserve">                                                                             </w:t>
      </w:r>
      <w:r w:rsidR="00AE64AD" w:rsidRPr="00A3168A">
        <w:t xml:space="preserve">         </w:t>
      </w:r>
      <w:r w:rsidRPr="00A3168A">
        <w:t xml:space="preserve">  </w:t>
      </w:r>
      <w:r w:rsidR="00ED668A" w:rsidRPr="00A3168A">
        <w:t xml:space="preserve"> </w:t>
      </w:r>
    </w:p>
    <w:p w14:paraId="00697194" w14:textId="1925B9C8" w:rsidR="00881DE3" w:rsidRPr="00A3168A" w:rsidRDefault="00DC1E5A" w:rsidP="004F302C">
      <w:pPr>
        <w:ind w:firstLine="567"/>
        <w:jc w:val="both"/>
      </w:pPr>
      <w:r w:rsidRPr="00A3168A">
        <w:t>Z prehľadu vidieť, že výdavky na energie</w:t>
      </w:r>
      <w:r w:rsidR="000438E1" w:rsidRPr="00A3168A">
        <w:t xml:space="preserve"> sa</w:t>
      </w:r>
      <w:r w:rsidRPr="00A3168A">
        <w:t xml:space="preserve"> v hodnotenom období medziročne </w:t>
      </w:r>
      <w:r w:rsidR="00443ECA" w:rsidRPr="00A3168A">
        <w:t>znížili</w:t>
      </w:r>
      <w:r w:rsidR="008F6639" w:rsidRPr="00A3168A">
        <w:t>.</w:t>
      </w:r>
      <w:r w:rsidR="001C0339" w:rsidRPr="00A3168A">
        <w:t xml:space="preserve"> </w:t>
      </w:r>
      <w:r w:rsidR="008F6639" w:rsidRPr="00A3168A">
        <w:t>Z</w:t>
      </w:r>
      <w:r w:rsidR="00443ECA" w:rsidRPr="00A3168A">
        <w:t>níženie výdavkov za energie v roku 2020 v porovnaní s rokom 2019</w:t>
      </w:r>
      <w:r w:rsidRPr="00A3168A">
        <w:t xml:space="preserve"> predstavovalo</w:t>
      </w:r>
      <w:r w:rsidR="00AE64AD" w:rsidRPr="00A3168A">
        <w:t xml:space="preserve"> v absolútnom vyjadrení </w:t>
      </w:r>
      <w:r w:rsidRPr="00A3168A">
        <w:t xml:space="preserve">sumu </w:t>
      </w:r>
      <w:r w:rsidR="00443ECA" w:rsidRPr="00A3168A">
        <w:t>17 267,96</w:t>
      </w:r>
      <w:r w:rsidR="00EA77DC" w:rsidRPr="00A3168A">
        <w:t xml:space="preserve"> eur v dôsledku zavedenia práce z domu v záujme zníženia mobility zamestnancov na pracovisku z dôvo</w:t>
      </w:r>
      <w:r w:rsidR="00FB3C5D" w:rsidRPr="00A3168A">
        <w:t xml:space="preserve">du zamedzenia šírenia pandémie koronavírusu </w:t>
      </w:r>
      <w:r w:rsidR="00EA77DC" w:rsidRPr="00A3168A">
        <w:t xml:space="preserve">COVID-19.  </w:t>
      </w:r>
    </w:p>
    <w:p w14:paraId="2E415AEB" w14:textId="6CD64F5D" w:rsidR="00FA490F" w:rsidRDefault="00FA490F" w:rsidP="004F302C">
      <w:pPr>
        <w:ind w:firstLine="567"/>
        <w:jc w:val="both"/>
      </w:pPr>
    </w:p>
    <w:p w14:paraId="74AF9353" w14:textId="77777777" w:rsidR="00816573" w:rsidRPr="00A3168A" w:rsidRDefault="00816573" w:rsidP="004F302C">
      <w:pPr>
        <w:ind w:firstLine="567"/>
        <w:jc w:val="both"/>
      </w:pPr>
    </w:p>
    <w:p w14:paraId="4300257F" w14:textId="2AB7D138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>633 – Materiál</w:t>
      </w:r>
      <w:r w:rsidRPr="00A3168A">
        <w:rPr>
          <w:sz w:val="20"/>
          <w:szCs w:val="20"/>
        </w:rPr>
        <w:t xml:space="preserve">                                                                                                    </w:t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</w:r>
      <w:r w:rsidRPr="00A3168A">
        <w:rPr>
          <w:sz w:val="20"/>
          <w:szCs w:val="20"/>
        </w:rPr>
        <w:tab/>
        <w:t xml:space="preserve">                                                    </w:t>
      </w:r>
      <w:r w:rsidR="006C44AC" w:rsidRPr="00A3168A">
        <w:rPr>
          <w:sz w:val="20"/>
          <w:szCs w:val="20"/>
        </w:rPr>
        <w:t xml:space="preserve">              </w:t>
      </w:r>
      <w:r w:rsidRPr="00A3168A">
        <w:rPr>
          <w:sz w:val="20"/>
          <w:szCs w:val="20"/>
        </w:rPr>
        <w:t xml:space="preserve">   Upravený rozpočet:  </w:t>
      </w:r>
      <w:r w:rsidR="006C44AC" w:rsidRPr="00A3168A">
        <w:rPr>
          <w:sz w:val="20"/>
          <w:szCs w:val="20"/>
        </w:rPr>
        <w:t xml:space="preserve"> </w:t>
      </w:r>
      <w:r w:rsidR="002F1C77" w:rsidRPr="00A3168A">
        <w:rPr>
          <w:sz w:val="20"/>
          <w:szCs w:val="20"/>
        </w:rPr>
        <w:t>217 119,25</w:t>
      </w:r>
      <w:r w:rsidRPr="00A3168A">
        <w:rPr>
          <w:sz w:val="20"/>
          <w:szCs w:val="20"/>
        </w:rPr>
        <w:t xml:space="preserve"> eur</w:t>
      </w:r>
    </w:p>
    <w:p w14:paraId="77AB60D6" w14:textId="1CC8BF0D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</w:t>
      </w:r>
      <w:r w:rsidR="00FE5C7A" w:rsidRPr="00A3168A">
        <w:rPr>
          <w:sz w:val="20"/>
          <w:szCs w:val="20"/>
        </w:rPr>
        <w:t xml:space="preserve">   </w:t>
      </w:r>
      <w:r w:rsidRPr="00A3168A">
        <w:rPr>
          <w:sz w:val="20"/>
          <w:szCs w:val="20"/>
        </w:rPr>
        <w:t xml:space="preserve">      </w:t>
      </w:r>
      <w:r w:rsidRPr="00A3168A">
        <w:rPr>
          <w:sz w:val="20"/>
          <w:szCs w:val="20"/>
        </w:rPr>
        <w:tab/>
        <w:t>:</w:t>
      </w:r>
      <w:r w:rsidR="0045328D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</w:t>
      </w:r>
      <w:r w:rsidR="00FE5C7A" w:rsidRPr="00A3168A">
        <w:rPr>
          <w:sz w:val="20"/>
          <w:szCs w:val="20"/>
        </w:rPr>
        <w:t xml:space="preserve"> </w:t>
      </w:r>
      <w:r w:rsidR="002F1C77" w:rsidRPr="00A3168A">
        <w:rPr>
          <w:sz w:val="20"/>
          <w:szCs w:val="20"/>
        </w:rPr>
        <w:t>217 119,25</w:t>
      </w:r>
      <w:r w:rsidRPr="00A3168A">
        <w:rPr>
          <w:sz w:val="20"/>
          <w:szCs w:val="20"/>
        </w:rPr>
        <w:t xml:space="preserve"> eur          </w:t>
      </w:r>
    </w:p>
    <w:p w14:paraId="04AEDA92" w14:textId="2E3DB663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% plnenia  k UR </w:t>
      </w:r>
      <w:r w:rsidRPr="00A3168A">
        <w:rPr>
          <w:sz w:val="20"/>
          <w:szCs w:val="20"/>
        </w:rPr>
        <w:tab/>
        <w:t xml:space="preserve">:          </w:t>
      </w:r>
      <w:r w:rsidR="0030380F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%</w:t>
      </w:r>
    </w:p>
    <w:p w14:paraId="4303CB03" w14:textId="1B1C78F7" w:rsidR="004F302C" w:rsidRPr="00A3168A" w:rsidRDefault="004F302C" w:rsidP="007C2222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––––––––––––––––––––––––––––</w:t>
      </w:r>
    </w:p>
    <w:p w14:paraId="038FFFDF" w14:textId="09C85CFF" w:rsidR="00E927D6" w:rsidRPr="00A3168A" w:rsidRDefault="00E927D6" w:rsidP="007C2222">
      <w:pPr>
        <w:jc w:val="both"/>
        <w:rPr>
          <w:b/>
        </w:rPr>
      </w:pPr>
    </w:p>
    <w:p w14:paraId="4657AFF4" w14:textId="76FC21E8" w:rsidR="00071F4F" w:rsidRPr="00A3168A" w:rsidRDefault="00C7023D" w:rsidP="004F302C">
      <w:pPr>
        <w:tabs>
          <w:tab w:val="left" w:pos="567"/>
        </w:tabs>
        <w:ind w:firstLine="567"/>
        <w:jc w:val="both"/>
      </w:pPr>
      <w:r w:rsidRPr="00A3168A">
        <w:t xml:space="preserve">Výdavky na </w:t>
      </w:r>
      <w:r w:rsidR="00863237" w:rsidRPr="00A3168A">
        <w:t xml:space="preserve">tejto </w:t>
      </w:r>
      <w:r w:rsidR="002F1C77" w:rsidRPr="00A3168A">
        <w:t>položke v roku 2020</w:t>
      </w:r>
      <w:r w:rsidRPr="00A3168A">
        <w:t xml:space="preserve"> predstavujú </w:t>
      </w:r>
      <w:r w:rsidR="002F1C77" w:rsidRPr="00A3168A">
        <w:t>14,87</w:t>
      </w:r>
      <w:r w:rsidRPr="00A3168A">
        <w:t xml:space="preserve"> % čerpania z kategórie 630-Tovary a služby. Výdavky boli spojené s úhradami za štandardné nákupy kancelárskych potrieb, zástav, vlajok, štand</w:t>
      </w:r>
      <w:r w:rsidR="00863237" w:rsidRPr="00A3168A">
        <w:t>á</w:t>
      </w:r>
      <w:r w:rsidRPr="00A3168A">
        <w:t>rd</w:t>
      </w:r>
      <w:r w:rsidR="00863237" w:rsidRPr="00A3168A">
        <w:t>, pre</w:t>
      </w:r>
      <w:r w:rsidR="004F302C" w:rsidRPr="00A3168A">
        <w:t xml:space="preserve">dplatné </w:t>
      </w:r>
      <w:r w:rsidR="00FD0F59" w:rsidRPr="00A3168A">
        <w:t>tlače, odbornej literatúry</w:t>
      </w:r>
      <w:r w:rsidR="002F1C77" w:rsidRPr="00A3168A">
        <w:t>. V roku 2020</w:t>
      </w:r>
      <w:r w:rsidR="006F5584" w:rsidRPr="00A3168A">
        <w:t xml:space="preserve"> bola </w:t>
      </w:r>
      <w:r w:rsidR="00B93ADE" w:rsidRPr="00A3168A">
        <w:t xml:space="preserve">vykonaná </w:t>
      </w:r>
      <w:r w:rsidR="006F5584" w:rsidRPr="00A3168A">
        <w:t>obmen</w:t>
      </w:r>
      <w:r w:rsidR="00D21D88" w:rsidRPr="00A3168A">
        <w:t>a</w:t>
      </w:r>
      <w:r w:rsidR="004F302C" w:rsidRPr="00A3168A">
        <w:t xml:space="preserve"> morálne i technicky opotrebovan</w:t>
      </w:r>
      <w:r w:rsidR="00B93ADE" w:rsidRPr="00A3168A">
        <w:t>ej</w:t>
      </w:r>
      <w:r w:rsidR="004F302C" w:rsidRPr="00A3168A">
        <w:t xml:space="preserve"> výpočtov</w:t>
      </w:r>
      <w:r w:rsidR="00B93ADE" w:rsidRPr="00A3168A">
        <w:t>ej techniky</w:t>
      </w:r>
      <w:r w:rsidR="0082624B" w:rsidRPr="00A3168A">
        <w:t>.</w:t>
      </w:r>
      <w:r w:rsidR="00DD10E6" w:rsidRPr="00A3168A">
        <w:t xml:space="preserve"> V hodnotenom období v dôsledku pandémie koronavírusu COVID-19 boli </w:t>
      </w:r>
      <w:r w:rsidR="005636B0" w:rsidRPr="00A3168A">
        <w:t>z</w:t>
      </w:r>
      <w:r w:rsidR="00DD10E6" w:rsidRPr="00A3168A">
        <w:t xml:space="preserve">realizované nákupy na ochranné pomôcky ako </w:t>
      </w:r>
      <w:r w:rsidR="007749C4" w:rsidRPr="00A3168A">
        <w:t xml:space="preserve">                   </w:t>
      </w:r>
      <w:r w:rsidR="00DD10E6" w:rsidRPr="00A3168A">
        <w:t>sú napríklad rúška či rukavice, dezinfekčné prostriedky a</w:t>
      </w:r>
      <w:r w:rsidR="00EA77DC" w:rsidRPr="00A3168A">
        <w:t> mydlá na zabezpečenie ochrany zamestnancov.</w:t>
      </w:r>
    </w:p>
    <w:p w14:paraId="7E7202C1" w14:textId="27EC7D22" w:rsidR="001669C6" w:rsidRPr="00A3168A" w:rsidRDefault="0089231F" w:rsidP="006C68E0">
      <w:pPr>
        <w:tabs>
          <w:tab w:val="left" w:pos="567"/>
        </w:tabs>
        <w:ind w:firstLine="567"/>
        <w:jc w:val="both"/>
      </w:pPr>
      <w:r w:rsidRPr="00A3168A">
        <w:t>K čerpaniu uvedenej položky</w:t>
      </w:r>
      <w:r w:rsidR="004F302C" w:rsidRPr="00A3168A">
        <w:t xml:space="preserve"> sa významnou mierou podieľali úhrady </w:t>
      </w:r>
      <w:r w:rsidR="005C6AD9" w:rsidRPr="00A3168A">
        <w:t>na</w:t>
      </w:r>
      <w:r w:rsidR="004F302C" w:rsidRPr="00A3168A">
        <w:t xml:space="preserve"> reprezentačné výdavky </w:t>
      </w:r>
      <w:r w:rsidR="00DD10E6" w:rsidRPr="00A3168A">
        <w:t>na dary a</w:t>
      </w:r>
      <w:r w:rsidR="004F302C" w:rsidRPr="00A3168A">
        <w:t xml:space="preserve"> kvetinov</w:t>
      </w:r>
      <w:r w:rsidR="005C6AD9" w:rsidRPr="00A3168A">
        <w:t>ú</w:t>
      </w:r>
      <w:r w:rsidR="004F302C" w:rsidRPr="00A3168A">
        <w:t xml:space="preserve"> výzdob</w:t>
      </w:r>
      <w:r w:rsidR="005C6AD9" w:rsidRPr="00A3168A">
        <w:t>u</w:t>
      </w:r>
      <w:r w:rsidR="0087030A">
        <w:t xml:space="preserve"> P</w:t>
      </w:r>
      <w:r w:rsidR="004F302C" w:rsidRPr="00A3168A">
        <w:t>rezidentského paláca</w:t>
      </w:r>
      <w:r w:rsidR="0087030A">
        <w:t xml:space="preserve"> v Bratislave</w:t>
      </w:r>
      <w:r w:rsidR="004F302C" w:rsidRPr="00A3168A">
        <w:t xml:space="preserve"> poča</w:t>
      </w:r>
      <w:r w:rsidR="00A375C7" w:rsidRPr="00A3168A">
        <w:t>s oficiálnych návštev (hlava štátu</w:t>
      </w:r>
      <w:r w:rsidR="002F1C77" w:rsidRPr="00A3168A">
        <w:t xml:space="preserve"> v roku 2020</w:t>
      </w:r>
      <w:r w:rsidR="004F302C" w:rsidRPr="00A3168A">
        <w:t xml:space="preserve"> </w:t>
      </w:r>
      <w:r w:rsidR="002E262A" w:rsidRPr="00A3168A">
        <w:t>prijal</w:t>
      </w:r>
      <w:r w:rsidR="00BE2C7A" w:rsidRPr="00A3168A">
        <w:t>a</w:t>
      </w:r>
      <w:r w:rsidR="002E262A" w:rsidRPr="00A3168A">
        <w:t xml:space="preserve"> na domácej pôde</w:t>
      </w:r>
      <w:r w:rsidR="004F302C" w:rsidRPr="00A3168A">
        <w:t> </w:t>
      </w:r>
      <w:r w:rsidR="001A5B08" w:rsidRPr="00A3168A">
        <w:t>viacero</w:t>
      </w:r>
      <w:r w:rsidR="004F302C" w:rsidRPr="00A3168A">
        <w:t xml:space="preserve"> významných osobností politického a spoločenského života).</w:t>
      </w:r>
      <w:r w:rsidR="00FD0F59" w:rsidRPr="00A3168A">
        <w:t xml:space="preserve"> V porovnaní s rokom 201</w:t>
      </w:r>
      <w:r w:rsidR="002F1C77" w:rsidRPr="00A3168A">
        <w:t>9</w:t>
      </w:r>
      <w:r w:rsidR="004C09B6" w:rsidRPr="00A3168A">
        <w:t xml:space="preserve"> boli</w:t>
      </w:r>
      <w:r w:rsidR="00A62B9A" w:rsidRPr="00A3168A">
        <w:t xml:space="preserve"> výdavky </w:t>
      </w:r>
      <w:r w:rsidR="002F1C77" w:rsidRPr="00A3168A">
        <w:t>nižšie</w:t>
      </w:r>
      <w:r w:rsidR="0045328D" w:rsidRPr="00A3168A">
        <w:t xml:space="preserve"> o</w:t>
      </w:r>
      <w:r w:rsidR="002F1C77" w:rsidRPr="00A3168A">
        <w:t> 134 946,16</w:t>
      </w:r>
      <w:r w:rsidR="0045328D" w:rsidRPr="00A3168A">
        <w:t xml:space="preserve"> eur</w:t>
      </w:r>
      <w:r w:rsidR="00FA490F" w:rsidRPr="00A3168A">
        <w:t xml:space="preserve"> (núdzový stav</w:t>
      </w:r>
      <w:r w:rsidR="0087030A">
        <w:t xml:space="preserve"> v Slovenskej republike</w:t>
      </w:r>
      <w:r w:rsidR="00FA490F" w:rsidRPr="00A3168A">
        <w:t>, obmedzený pohyb).</w:t>
      </w:r>
    </w:p>
    <w:p w14:paraId="273C97AE" w14:textId="6F66192E" w:rsidR="004A042D" w:rsidRDefault="004A042D" w:rsidP="004F302C">
      <w:pPr>
        <w:jc w:val="both"/>
        <w:rPr>
          <w:b/>
        </w:rPr>
      </w:pPr>
    </w:p>
    <w:p w14:paraId="3AE0E023" w14:textId="096FCC30" w:rsidR="007B107B" w:rsidRDefault="007B107B" w:rsidP="004F302C">
      <w:pPr>
        <w:jc w:val="both"/>
        <w:rPr>
          <w:b/>
        </w:rPr>
      </w:pPr>
    </w:p>
    <w:p w14:paraId="20F907BC" w14:textId="689DCA55" w:rsidR="00816573" w:rsidRDefault="00816573" w:rsidP="004F302C">
      <w:pPr>
        <w:jc w:val="both"/>
        <w:rPr>
          <w:b/>
        </w:rPr>
      </w:pPr>
    </w:p>
    <w:p w14:paraId="0868127F" w14:textId="23B9E30B" w:rsidR="00816573" w:rsidRDefault="00816573" w:rsidP="004F302C">
      <w:pPr>
        <w:jc w:val="both"/>
        <w:rPr>
          <w:b/>
        </w:rPr>
      </w:pPr>
    </w:p>
    <w:p w14:paraId="2D47F02B" w14:textId="77777777" w:rsidR="00816573" w:rsidRDefault="00816573" w:rsidP="004F302C">
      <w:pPr>
        <w:jc w:val="both"/>
        <w:rPr>
          <w:b/>
        </w:rPr>
      </w:pPr>
    </w:p>
    <w:p w14:paraId="012EB9A0" w14:textId="7C1AB271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lastRenderedPageBreak/>
        <w:t>634 – Dopravné</w:t>
      </w:r>
      <w:r w:rsidRPr="00A3168A">
        <w:rPr>
          <w:sz w:val="20"/>
          <w:szCs w:val="20"/>
        </w:rPr>
        <w:t xml:space="preserve">                                                                                    </w:t>
      </w:r>
    </w:p>
    <w:p w14:paraId="7893D94E" w14:textId="27CFA472" w:rsidR="004F302C" w:rsidRPr="00A3168A" w:rsidRDefault="004F302C" w:rsidP="004F302C">
      <w:pPr>
        <w:ind w:left="4956"/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Upravený rozpočet</w:t>
      </w:r>
      <w:r w:rsidR="0087030A">
        <w:rPr>
          <w:sz w:val="20"/>
          <w:szCs w:val="20"/>
        </w:rPr>
        <w:t xml:space="preserve">  </w:t>
      </w:r>
      <w:r w:rsidRPr="00A3168A">
        <w:rPr>
          <w:sz w:val="20"/>
          <w:szCs w:val="20"/>
        </w:rPr>
        <w:t xml:space="preserve">: </w:t>
      </w:r>
      <w:r w:rsidR="0045328D" w:rsidRPr="00A3168A">
        <w:rPr>
          <w:sz w:val="20"/>
          <w:szCs w:val="20"/>
        </w:rPr>
        <w:t xml:space="preserve"> </w:t>
      </w:r>
      <w:r w:rsidR="002F1C77" w:rsidRPr="00A3168A">
        <w:rPr>
          <w:sz w:val="20"/>
          <w:szCs w:val="20"/>
        </w:rPr>
        <w:t>34 238,83</w:t>
      </w:r>
      <w:r w:rsidR="005E7C1D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>eur</w:t>
      </w:r>
    </w:p>
    <w:p w14:paraId="5B048FA7" w14:textId="3F337AD6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</w:t>
      </w:r>
      <w:r w:rsidRPr="00A3168A">
        <w:rPr>
          <w:sz w:val="20"/>
          <w:szCs w:val="20"/>
        </w:rPr>
        <w:tab/>
      </w:r>
      <w:r w:rsidR="00FE5C7A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:</w:t>
      </w:r>
      <w:r w:rsidR="00845181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</w:t>
      </w:r>
      <w:r w:rsidR="002F1C77" w:rsidRPr="00A3168A">
        <w:rPr>
          <w:sz w:val="20"/>
          <w:szCs w:val="20"/>
        </w:rPr>
        <w:t>34 238,83</w:t>
      </w:r>
      <w:r w:rsidRPr="00A3168A">
        <w:rPr>
          <w:sz w:val="20"/>
          <w:szCs w:val="20"/>
        </w:rPr>
        <w:t xml:space="preserve"> eur         </w:t>
      </w:r>
    </w:p>
    <w:p w14:paraId="5907EAE2" w14:textId="2784E7F7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% plnenia  k UR    </w:t>
      </w:r>
      <w:r w:rsidR="0087030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: </w:t>
      </w:r>
      <w:r w:rsidR="00845181" w:rsidRPr="00A3168A">
        <w:rPr>
          <w:sz w:val="20"/>
          <w:szCs w:val="20"/>
        </w:rPr>
        <w:t xml:space="preserve">  </w:t>
      </w:r>
      <w:r w:rsidR="008F6639" w:rsidRPr="00A3168A">
        <w:rPr>
          <w:sz w:val="20"/>
          <w:szCs w:val="20"/>
        </w:rPr>
        <w:t xml:space="preserve">   </w:t>
      </w:r>
      <w:r w:rsidR="00845181" w:rsidRPr="00A3168A">
        <w:rPr>
          <w:sz w:val="20"/>
          <w:szCs w:val="20"/>
        </w:rPr>
        <w:t xml:space="preserve">  </w:t>
      </w:r>
      <w:r w:rsidR="008F6639" w:rsidRPr="00A3168A">
        <w:rPr>
          <w:sz w:val="20"/>
          <w:szCs w:val="20"/>
        </w:rPr>
        <w:t xml:space="preserve"> </w:t>
      </w:r>
      <w:r w:rsidR="00725F62" w:rsidRPr="00A3168A">
        <w:rPr>
          <w:sz w:val="20"/>
          <w:szCs w:val="20"/>
        </w:rPr>
        <w:t>100</w:t>
      </w:r>
      <w:r w:rsidR="008F6639" w:rsidRPr="00A3168A">
        <w:rPr>
          <w:sz w:val="20"/>
          <w:szCs w:val="20"/>
        </w:rPr>
        <w:t xml:space="preserve"> </w:t>
      </w:r>
      <w:r w:rsidR="005D4B27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>%</w:t>
      </w:r>
    </w:p>
    <w:p w14:paraId="1FCACB8D" w14:textId="77777777" w:rsidR="008265D2" w:rsidRPr="00A3168A" w:rsidRDefault="004F302C" w:rsidP="004F302C">
      <w:pPr>
        <w:jc w:val="both"/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––––––––––––––––––––––––––––</w:t>
      </w:r>
      <w:r w:rsidR="00E415FB" w:rsidRPr="00A3168A">
        <w:t xml:space="preserve">   </w:t>
      </w:r>
    </w:p>
    <w:p w14:paraId="41EFA5D5" w14:textId="77777777" w:rsidR="002A1402" w:rsidRPr="00A3168A" w:rsidRDefault="008265D2" w:rsidP="00363376">
      <w:pPr>
        <w:jc w:val="both"/>
      </w:pPr>
      <w:r w:rsidRPr="00A3168A">
        <w:t xml:space="preserve">    </w:t>
      </w:r>
      <w:r w:rsidR="00E415FB" w:rsidRPr="00A3168A">
        <w:t xml:space="preserve">   </w:t>
      </w:r>
    </w:p>
    <w:p w14:paraId="21B9AC68" w14:textId="69AF2637" w:rsidR="003247DA" w:rsidRPr="00A3168A" w:rsidRDefault="00E415FB" w:rsidP="002A1402">
      <w:pPr>
        <w:ind w:firstLine="708"/>
        <w:jc w:val="both"/>
      </w:pPr>
      <w:r w:rsidRPr="00A3168A">
        <w:t xml:space="preserve"> Výd</w:t>
      </w:r>
      <w:r w:rsidR="002F1C77" w:rsidRPr="00A3168A">
        <w:t>avky na tejto položke v roku 2020</w:t>
      </w:r>
      <w:r w:rsidRPr="00A3168A">
        <w:t xml:space="preserve"> v porovnaní s predchádzajúcim rokom boli </w:t>
      </w:r>
      <w:r w:rsidR="00EE493C" w:rsidRPr="00A3168A">
        <w:t xml:space="preserve">nižšie </w:t>
      </w:r>
      <w:r w:rsidRPr="00A3168A">
        <w:t xml:space="preserve">o sumu </w:t>
      </w:r>
      <w:r w:rsidR="00910106" w:rsidRPr="00A3168A">
        <w:t>21 461,95</w:t>
      </w:r>
      <w:r w:rsidR="008265D2" w:rsidRPr="00A3168A">
        <w:t xml:space="preserve"> eur.</w:t>
      </w:r>
      <w:r w:rsidR="00820A1F" w:rsidRPr="00A3168A">
        <w:t xml:space="preserve"> Na čerpaní tejto položky sa najvýznamnejšou mierou podieľali úhrady </w:t>
      </w:r>
      <w:r w:rsidR="00A070D8" w:rsidRPr="00A3168A">
        <w:t xml:space="preserve">              </w:t>
      </w:r>
      <w:r w:rsidR="00820A1F" w:rsidRPr="00A3168A">
        <w:t>za nákup</w:t>
      </w:r>
      <w:r w:rsidR="004F302C" w:rsidRPr="00A3168A">
        <w:t xml:space="preserve"> </w:t>
      </w:r>
      <w:r w:rsidR="0008013C" w:rsidRPr="00A3168A">
        <w:t>palív</w:t>
      </w:r>
      <w:r w:rsidR="006A2C44" w:rsidRPr="00A3168A">
        <w:t xml:space="preserve"> (</w:t>
      </w:r>
      <w:r w:rsidR="00910106" w:rsidRPr="00A3168A">
        <w:t>10 337,67</w:t>
      </w:r>
      <w:r w:rsidR="00D7174F" w:rsidRPr="00A3168A">
        <w:t xml:space="preserve"> eur),</w:t>
      </w:r>
      <w:r w:rsidR="008F6639" w:rsidRPr="00A3168A">
        <w:t xml:space="preserve"> </w:t>
      </w:r>
      <w:r w:rsidR="0006098D" w:rsidRPr="00A3168A">
        <w:t xml:space="preserve">servis a opravy motorových vozidiel (13 376,76 eur), </w:t>
      </w:r>
      <w:r w:rsidR="00457640" w:rsidRPr="00A3168A">
        <w:t xml:space="preserve">poistenie (6 667,40), </w:t>
      </w:r>
      <w:r w:rsidR="008F6639" w:rsidRPr="00A3168A">
        <w:t>prepravné (</w:t>
      </w:r>
      <w:r w:rsidR="00910106" w:rsidRPr="00A3168A">
        <w:t>3 247,20</w:t>
      </w:r>
      <w:r w:rsidR="0006098D" w:rsidRPr="00A3168A">
        <w:t xml:space="preserve"> eur).</w:t>
      </w:r>
      <w:r w:rsidR="008F6639" w:rsidRPr="00A3168A">
        <w:t xml:space="preserve"> </w:t>
      </w:r>
    </w:p>
    <w:tbl>
      <w:tblPr>
        <w:tblW w:w="9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0"/>
      </w:tblGrid>
      <w:tr w:rsidR="0030380F" w:rsidRPr="00A3168A" w14:paraId="3191E133" w14:textId="77777777" w:rsidTr="0030380F">
        <w:trPr>
          <w:trHeight w:val="296"/>
        </w:trPr>
        <w:tc>
          <w:tcPr>
            <w:tcW w:w="9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6346" w14:textId="2B55F422" w:rsidR="00FB3C5D" w:rsidRPr="00A3168A" w:rsidRDefault="00FB3C5D">
            <w:pPr>
              <w:rPr>
                <w:b/>
                <w:bCs/>
                <w:color w:val="000000"/>
              </w:rPr>
            </w:pPr>
          </w:p>
          <w:p w14:paraId="1DDE3661" w14:textId="729801B7" w:rsidR="00443ECA" w:rsidRPr="00A3168A" w:rsidRDefault="0030380F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Porovnanie čerpania výdavkov n</w:t>
            </w:r>
            <w:r w:rsidR="00443ECA" w:rsidRPr="00A3168A">
              <w:rPr>
                <w:b/>
                <w:bCs/>
                <w:color w:val="000000"/>
              </w:rPr>
              <w:t>a dopravné za obdobie rokov 2019 – 2020</w:t>
            </w:r>
          </w:p>
          <w:tbl>
            <w:tblPr>
              <w:tblW w:w="93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52"/>
              <w:gridCol w:w="1840"/>
              <w:gridCol w:w="1840"/>
              <w:gridCol w:w="2648"/>
            </w:tblGrid>
            <w:tr w:rsidR="00443ECA" w:rsidRPr="00A3168A" w14:paraId="002C8541" w14:textId="77777777" w:rsidTr="00A070D8">
              <w:trPr>
                <w:trHeight w:val="324"/>
              </w:trPr>
              <w:tc>
                <w:tcPr>
                  <w:tcW w:w="30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A916B" w14:textId="77777777" w:rsidR="00443ECA" w:rsidRPr="00A3168A" w:rsidRDefault="00443ECA" w:rsidP="00443ECA">
                  <w:pPr>
                    <w:rPr>
                      <w:szCs w:val="20"/>
                      <w:lang w:eastAsia="sk-SK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9993E7" w14:textId="77777777" w:rsidR="00443ECA" w:rsidRPr="00A3168A" w:rsidRDefault="00443ECA" w:rsidP="00443EC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C038C" w14:textId="77777777" w:rsidR="00443ECA" w:rsidRPr="00A3168A" w:rsidRDefault="00443ECA" w:rsidP="00443EC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0EACD" w14:textId="77777777" w:rsidR="00443ECA" w:rsidRPr="00A3168A" w:rsidRDefault="00443ECA" w:rsidP="00443ECA">
                  <w:pPr>
                    <w:jc w:val="right"/>
                    <w:rPr>
                      <w:i/>
                      <w:iCs/>
                      <w:color w:val="000000"/>
                    </w:rPr>
                  </w:pPr>
                  <w:r w:rsidRPr="00A3168A">
                    <w:rPr>
                      <w:i/>
                      <w:iCs/>
                      <w:color w:val="000000"/>
                    </w:rPr>
                    <w:t>v eurách</w:t>
                  </w:r>
                </w:p>
              </w:tc>
            </w:tr>
            <w:tr w:rsidR="00443ECA" w:rsidRPr="00A3168A" w14:paraId="3E70E5E1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0CCBB" w14:textId="77777777" w:rsidR="00443ECA" w:rsidRPr="00A3168A" w:rsidRDefault="00443ECA" w:rsidP="00443E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 xml:space="preserve">Druh výdavku </w:t>
                  </w:r>
                </w:p>
              </w:tc>
              <w:tc>
                <w:tcPr>
                  <w:tcW w:w="18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AEBAB" w14:textId="77777777" w:rsidR="00443ECA" w:rsidRPr="00A3168A" w:rsidRDefault="00443ECA" w:rsidP="00443E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rok 2019</w:t>
                  </w:r>
                </w:p>
              </w:tc>
              <w:tc>
                <w:tcPr>
                  <w:tcW w:w="18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FB6CC" w14:textId="77777777" w:rsidR="00443ECA" w:rsidRPr="00A3168A" w:rsidRDefault="00443ECA" w:rsidP="00443E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rok 2020</w:t>
                  </w:r>
                </w:p>
              </w:tc>
              <w:tc>
                <w:tcPr>
                  <w:tcW w:w="264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46203" w14:textId="77777777" w:rsidR="00443ECA" w:rsidRPr="00A3168A" w:rsidRDefault="00443ECA" w:rsidP="00443EC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Rozdiel 2020 - 2019</w:t>
                  </w:r>
                </w:p>
              </w:tc>
            </w:tr>
            <w:tr w:rsidR="00443ECA" w:rsidRPr="00A3168A" w14:paraId="03A4DEA8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FCBF2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palivo, mazivá a oleje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FC946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16 895,23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94B6A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10 337,67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5ED1D6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-6 557,56</w:t>
                  </w:r>
                </w:p>
              </w:tc>
            </w:tr>
            <w:tr w:rsidR="00443ECA" w:rsidRPr="00A3168A" w14:paraId="3EA70E5E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E7353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 xml:space="preserve">servis, údržba a opravy 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9B1C01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20 745,83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E3EEF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13 376,76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11383B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-7 369,07</w:t>
                  </w:r>
                </w:p>
              </w:tc>
            </w:tr>
            <w:tr w:rsidR="00443ECA" w:rsidRPr="00A3168A" w14:paraId="578CB872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DF0B4F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poistenie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C1A366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6 969,99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667C1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6 667,40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E73FF1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-302,59</w:t>
                  </w:r>
                </w:p>
              </w:tc>
            </w:tr>
            <w:tr w:rsidR="00443ECA" w:rsidRPr="00A3168A" w14:paraId="12272F1E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8CDA96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prepravné a prenájom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AA78EB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10 547,23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EDB3B3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3 247,20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13BC2E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-7 300,03</w:t>
                  </w:r>
                </w:p>
              </w:tc>
            </w:tr>
            <w:tr w:rsidR="00443ECA" w:rsidRPr="00A3168A" w14:paraId="5305CFE2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755CA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karty, známky a poplatky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B2C93A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542,50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E7B4E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504,80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2D32E2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-37,70</w:t>
                  </w:r>
                </w:p>
              </w:tc>
            </w:tr>
            <w:tr w:rsidR="00443ECA" w:rsidRPr="00A3168A" w14:paraId="264420D1" w14:textId="77777777" w:rsidTr="00A070D8">
              <w:trPr>
                <w:trHeight w:val="310"/>
              </w:trPr>
              <w:tc>
                <w:tcPr>
                  <w:tcW w:w="305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4EB64" w14:textId="77777777" w:rsidR="00443ECA" w:rsidRPr="00A3168A" w:rsidRDefault="00443ECA" w:rsidP="00443ECA">
                  <w:pPr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pracovné odevy, obuv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C73072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A6C70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105,00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3EFB86" w14:textId="77777777" w:rsidR="00443ECA" w:rsidRPr="00A3168A" w:rsidRDefault="00443ECA" w:rsidP="00443ECA">
                  <w:pPr>
                    <w:jc w:val="right"/>
                    <w:rPr>
                      <w:color w:val="000000"/>
                    </w:rPr>
                  </w:pPr>
                  <w:r w:rsidRPr="00A3168A">
                    <w:rPr>
                      <w:color w:val="000000"/>
                    </w:rPr>
                    <w:t>105,00</w:t>
                  </w:r>
                </w:p>
              </w:tc>
            </w:tr>
            <w:tr w:rsidR="00443ECA" w:rsidRPr="00A3168A" w14:paraId="17127518" w14:textId="77777777" w:rsidTr="00A070D8">
              <w:trPr>
                <w:trHeight w:val="324"/>
              </w:trPr>
              <w:tc>
                <w:tcPr>
                  <w:tcW w:w="3052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ABC34D" w14:textId="77777777" w:rsidR="00443ECA" w:rsidRPr="00A3168A" w:rsidRDefault="00443ECA" w:rsidP="00443ECA">
                  <w:pPr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Spolu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701E7D" w14:textId="77777777" w:rsidR="00443ECA" w:rsidRPr="00A3168A" w:rsidRDefault="00443ECA" w:rsidP="00443EC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55 700,78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E801E" w14:textId="77777777" w:rsidR="00443ECA" w:rsidRPr="00A3168A" w:rsidRDefault="00443ECA" w:rsidP="00443EC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34 238,83</w:t>
                  </w:r>
                </w:p>
              </w:tc>
              <w:tc>
                <w:tcPr>
                  <w:tcW w:w="26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95EF84" w14:textId="77777777" w:rsidR="00443ECA" w:rsidRPr="00A3168A" w:rsidRDefault="00443ECA" w:rsidP="00443ECA">
                  <w:pPr>
                    <w:jc w:val="right"/>
                    <w:rPr>
                      <w:b/>
                      <w:bCs/>
                      <w:color w:val="000000"/>
                    </w:rPr>
                  </w:pPr>
                  <w:r w:rsidRPr="00A3168A">
                    <w:rPr>
                      <w:b/>
                      <w:bCs/>
                      <w:color w:val="000000"/>
                    </w:rPr>
                    <w:t>-21 461,95</w:t>
                  </w:r>
                </w:p>
              </w:tc>
            </w:tr>
          </w:tbl>
          <w:p w14:paraId="160AA613" w14:textId="1AC54B15" w:rsidR="00443ECA" w:rsidRPr="00A3168A" w:rsidRDefault="00443ECA">
            <w:pPr>
              <w:rPr>
                <w:b/>
                <w:bCs/>
                <w:color w:val="000000"/>
                <w:lang w:eastAsia="sk-SK"/>
              </w:rPr>
            </w:pPr>
          </w:p>
        </w:tc>
      </w:tr>
    </w:tbl>
    <w:p w14:paraId="70222873" w14:textId="7E30C10E" w:rsidR="00304AA5" w:rsidRPr="00A3168A" w:rsidRDefault="00304AA5" w:rsidP="00F939B8">
      <w:pPr>
        <w:jc w:val="both"/>
        <w:rPr>
          <w:b/>
        </w:rPr>
      </w:pPr>
    </w:p>
    <w:p w14:paraId="2F076FA8" w14:textId="77777777" w:rsidR="00304AA5" w:rsidRPr="00A3168A" w:rsidRDefault="00304AA5" w:rsidP="00F939B8">
      <w:pPr>
        <w:jc w:val="both"/>
        <w:rPr>
          <w:b/>
        </w:rPr>
      </w:pPr>
    </w:p>
    <w:p w14:paraId="50E42333" w14:textId="7DB67CEA" w:rsidR="004F302C" w:rsidRPr="00A3168A" w:rsidRDefault="004F302C" w:rsidP="00F939B8">
      <w:pPr>
        <w:jc w:val="both"/>
        <w:rPr>
          <w:b/>
        </w:rPr>
      </w:pPr>
      <w:r w:rsidRPr="00A3168A">
        <w:rPr>
          <w:b/>
        </w:rPr>
        <w:t xml:space="preserve">635 – Rutinná a štandardná údržba                                   </w:t>
      </w:r>
    </w:p>
    <w:p w14:paraId="5B273A63" w14:textId="2EC3E117" w:rsidR="004F302C" w:rsidRPr="00A3168A" w:rsidRDefault="004F302C" w:rsidP="004F302C">
      <w:pPr>
        <w:ind w:firstLine="4956"/>
        <w:jc w:val="both"/>
        <w:rPr>
          <w:sz w:val="20"/>
          <w:szCs w:val="20"/>
        </w:rPr>
      </w:pPr>
      <w:r w:rsidRPr="00A3168A">
        <w:rPr>
          <w:b/>
        </w:rPr>
        <w:t xml:space="preserve">        </w:t>
      </w:r>
      <w:r w:rsidRPr="00A3168A">
        <w:rPr>
          <w:sz w:val="20"/>
          <w:szCs w:val="20"/>
        </w:rPr>
        <w:t xml:space="preserve"> </w:t>
      </w:r>
      <w:r w:rsidR="000F2AE5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Upravený rozpočet   :  </w:t>
      </w:r>
      <w:r w:rsidR="00443ECA" w:rsidRPr="00A3168A">
        <w:rPr>
          <w:sz w:val="20"/>
          <w:szCs w:val="20"/>
        </w:rPr>
        <w:t>222 807,26</w:t>
      </w:r>
      <w:r w:rsidR="00E70D10" w:rsidRPr="00A3168A">
        <w:rPr>
          <w:sz w:val="20"/>
          <w:szCs w:val="20"/>
        </w:rPr>
        <w:t xml:space="preserve"> eur</w:t>
      </w:r>
    </w:p>
    <w:p w14:paraId="0AF7C029" w14:textId="24CAD12C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</w:t>
      </w:r>
      <w:r w:rsidR="00000585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  : </w:t>
      </w:r>
      <w:r w:rsidR="000F2AE5" w:rsidRPr="00A3168A">
        <w:rPr>
          <w:sz w:val="20"/>
          <w:szCs w:val="20"/>
        </w:rPr>
        <w:t xml:space="preserve"> </w:t>
      </w:r>
      <w:r w:rsidR="008F6639" w:rsidRPr="00A3168A">
        <w:rPr>
          <w:sz w:val="20"/>
          <w:szCs w:val="20"/>
        </w:rPr>
        <w:t xml:space="preserve"> </w:t>
      </w:r>
      <w:r w:rsidR="00443ECA" w:rsidRPr="00A3168A">
        <w:rPr>
          <w:sz w:val="20"/>
          <w:szCs w:val="20"/>
        </w:rPr>
        <w:t>222 807,26</w:t>
      </w:r>
      <w:r w:rsidRPr="00A3168A">
        <w:rPr>
          <w:sz w:val="20"/>
          <w:szCs w:val="20"/>
        </w:rPr>
        <w:t xml:space="preserve"> eur          </w:t>
      </w:r>
    </w:p>
    <w:p w14:paraId="5D93905A" w14:textId="1036054A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% plnenia  k UR      :       </w:t>
      </w:r>
      <w:r w:rsidR="008F6639" w:rsidRPr="00A3168A">
        <w:rPr>
          <w:sz w:val="20"/>
          <w:szCs w:val="20"/>
        </w:rPr>
        <w:t xml:space="preserve">   </w:t>
      </w:r>
      <w:r w:rsidRPr="00A3168A">
        <w:rPr>
          <w:sz w:val="20"/>
          <w:szCs w:val="20"/>
        </w:rPr>
        <w:t xml:space="preserve">  </w:t>
      </w:r>
      <w:r w:rsidR="00443ECA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%</w:t>
      </w:r>
    </w:p>
    <w:p w14:paraId="0115B407" w14:textId="77777777" w:rsidR="004F302C" w:rsidRPr="00A3168A" w:rsidRDefault="004F302C" w:rsidP="004F302C">
      <w:pPr>
        <w:jc w:val="both"/>
        <w:rPr>
          <w:b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––––––––––––––––––––––––––––––</w:t>
      </w:r>
    </w:p>
    <w:p w14:paraId="38A8102A" w14:textId="77777777" w:rsidR="005F2693" w:rsidRPr="00A3168A" w:rsidRDefault="004F302C" w:rsidP="004F302C">
      <w:pPr>
        <w:tabs>
          <w:tab w:val="left" w:pos="567"/>
        </w:tabs>
        <w:jc w:val="both"/>
      </w:pPr>
      <w:r w:rsidRPr="00A3168A">
        <w:tab/>
      </w:r>
    </w:p>
    <w:p w14:paraId="2280E7C3" w14:textId="6C1E4E4F" w:rsidR="00C75BFA" w:rsidRPr="00A3168A" w:rsidRDefault="005F2693" w:rsidP="004F302C">
      <w:pPr>
        <w:tabs>
          <w:tab w:val="left" w:pos="567"/>
        </w:tabs>
        <w:jc w:val="both"/>
      </w:pPr>
      <w:r w:rsidRPr="00A3168A">
        <w:tab/>
      </w:r>
      <w:r w:rsidR="00443ECA" w:rsidRPr="00A3168A">
        <w:t>V roku 2020</w:t>
      </w:r>
      <w:r w:rsidR="00FE0EAF" w:rsidRPr="00A3168A">
        <w:t xml:space="preserve"> v</w:t>
      </w:r>
      <w:r w:rsidR="00E86A7F" w:rsidRPr="00A3168A">
        <w:t xml:space="preserve">ýdavky na </w:t>
      </w:r>
      <w:r w:rsidR="004F0D68" w:rsidRPr="00A3168A">
        <w:t xml:space="preserve">drobné </w:t>
      </w:r>
      <w:r w:rsidR="0062360E" w:rsidRPr="00A3168A">
        <w:t>opravy</w:t>
      </w:r>
      <w:r w:rsidR="004F0D68" w:rsidRPr="00A3168A">
        <w:t xml:space="preserve"> a bežnú údržbu </w:t>
      </w:r>
      <w:r w:rsidR="00E86A7F" w:rsidRPr="00A3168A">
        <w:t xml:space="preserve">predstavujú </w:t>
      </w:r>
      <w:r w:rsidR="00443ECA" w:rsidRPr="00A3168A">
        <w:t>15,26</w:t>
      </w:r>
      <w:r w:rsidR="001669C6" w:rsidRPr="00A3168A">
        <w:t xml:space="preserve"> %</w:t>
      </w:r>
      <w:r w:rsidR="009B23E4" w:rsidRPr="00A3168A">
        <w:t xml:space="preserve">-ný </w:t>
      </w:r>
      <w:r w:rsidR="00E86A7F" w:rsidRPr="00A3168A">
        <w:t>podiel v rámci kategórie  630 – Tovary a služby.</w:t>
      </w:r>
      <w:r w:rsidR="004F0D68" w:rsidRPr="00A3168A">
        <w:t xml:space="preserve"> V porovnaní s rokom 201</w:t>
      </w:r>
      <w:r w:rsidR="00443ECA" w:rsidRPr="00A3168A">
        <w:t>9</w:t>
      </w:r>
      <w:r w:rsidR="004F0D68" w:rsidRPr="00A3168A">
        <w:t xml:space="preserve"> je to</w:t>
      </w:r>
      <w:r w:rsidR="00F01462" w:rsidRPr="00A3168A">
        <w:t xml:space="preserve"> o</w:t>
      </w:r>
      <w:r w:rsidR="004F0D68" w:rsidRPr="00A3168A">
        <w:t xml:space="preserve"> </w:t>
      </w:r>
      <w:r w:rsidR="00F666A5" w:rsidRPr="00A3168A">
        <w:t>144 343,61</w:t>
      </w:r>
      <w:r w:rsidR="006A0545" w:rsidRPr="00A3168A">
        <w:t xml:space="preserve"> eur </w:t>
      </w:r>
      <w:r w:rsidR="00F666A5" w:rsidRPr="00A3168A">
        <w:t>menej</w:t>
      </w:r>
      <w:r w:rsidR="00075561" w:rsidRPr="00A3168A">
        <w:t>.</w:t>
      </w:r>
      <w:r w:rsidR="006A0545" w:rsidRPr="00A3168A">
        <w:t xml:space="preserve"> </w:t>
      </w:r>
      <w:r w:rsidR="00C75BFA" w:rsidRPr="00A3168A">
        <w:t xml:space="preserve">  </w:t>
      </w:r>
    </w:p>
    <w:p w14:paraId="4647F43D" w14:textId="55763DA1" w:rsidR="00EA328F" w:rsidRPr="00A3168A" w:rsidRDefault="00C75BFA" w:rsidP="00C75BFA">
      <w:pPr>
        <w:tabs>
          <w:tab w:val="left" w:pos="567"/>
        </w:tabs>
        <w:jc w:val="both"/>
      </w:pPr>
      <w:r w:rsidRPr="00A3168A">
        <w:t xml:space="preserve">         </w:t>
      </w:r>
      <w:r w:rsidR="009B23E4" w:rsidRPr="00A3168A">
        <w:t>Najväčšie výdavky v rámci tejto položky boli vynaložené na údržbu a opravy budov v správe Kancelár</w:t>
      </w:r>
      <w:r w:rsidR="00E528FD">
        <w:t>ie prezidenta a údržbu záhrady p</w:t>
      </w:r>
      <w:r w:rsidR="009B23E4" w:rsidRPr="00A3168A">
        <w:t xml:space="preserve">rezidentského </w:t>
      </w:r>
      <w:r w:rsidR="006806BA" w:rsidRPr="00A3168A">
        <w:t>paláca.</w:t>
      </w:r>
    </w:p>
    <w:p w14:paraId="51719E2D" w14:textId="7BD63EB3" w:rsidR="004F302C" w:rsidRPr="00A3168A" w:rsidRDefault="00E027B9" w:rsidP="004F302C">
      <w:pPr>
        <w:tabs>
          <w:tab w:val="left" w:pos="567"/>
        </w:tabs>
        <w:jc w:val="both"/>
      </w:pPr>
      <w:r w:rsidRPr="00A3168A">
        <w:tab/>
      </w:r>
      <w:r w:rsidR="00F128D3" w:rsidRPr="00A3168A">
        <w:t>V</w:t>
      </w:r>
      <w:r w:rsidR="00BB24A8" w:rsidRPr="00A3168A">
        <w:t xml:space="preserve"> rámci </w:t>
      </w:r>
      <w:r w:rsidR="008E1ECD" w:rsidRPr="00A3168A">
        <w:t>uvedenej</w:t>
      </w:r>
      <w:r w:rsidR="00BB24A8" w:rsidRPr="00A3168A">
        <w:t xml:space="preserve"> položky </w:t>
      </w:r>
      <w:r w:rsidR="006806BA" w:rsidRPr="00A3168A">
        <w:t xml:space="preserve">boli </w:t>
      </w:r>
      <w:r w:rsidR="00BB24A8" w:rsidRPr="00A3168A">
        <w:t>ďalšie výdavky čerpané na</w:t>
      </w:r>
      <w:r w:rsidR="00F128D3" w:rsidRPr="00A3168A">
        <w:t xml:space="preserve"> </w:t>
      </w:r>
      <w:r w:rsidR="00BB24A8" w:rsidRPr="00A3168A">
        <w:t>opravy a údržbu</w:t>
      </w:r>
      <w:r w:rsidR="00F128D3" w:rsidRPr="00A3168A">
        <w:t xml:space="preserve"> </w:t>
      </w:r>
      <w:r w:rsidR="00D44899" w:rsidRPr="00A3168A">
        <w:t>interiérového vybavenia,</w:t>
      </w:r>
      <w:r w:rsidR="00F128D3" w:rsidRPr="00A3168A">
        <w:t xml:space="preserve"> telekomunikačnej techniky,</w:t>
      </w:r>
      <w:r w:rsidR="00BB24A8" w:rsidRPr="00A3168A">
        <w:t xml:space="preserve"> </w:t>
      </w:r>
      <w:r w:rsidR="00F128D3" w:rsidRPr="00A3168A">
        <w:t>prevádzkových strojov, prístrojov</w:t>
      </w:r>
      <w:r w:rsidR="00BB24A8" w:rsidRPr="00A3168A">
        <w:t xml:space="preserve"> </w:t>
      </w:r>
      <w:r w:rsidR="00F128D3" w:rsidRPr="00A3168A">
        <w:t>a</w:t>
      </w:r>
      <w:r w:rsidR="00BB24A8" w:rsidRPr="00A3168A">
        <w:t> </w:t>
      </w:r>
      <w:r w:rsidR="00F128D3" w:rsidRPr="00A3168A">
        <w:t>zariadení</w:t>
      </w:r>
      <w:r w:rsidR="00BB24A8" w:rsidRPr="00A3168A">
        <w:t xml:space="preserve"> (</w:t>
      </w:r>
      <w:r w:rsidR="004F302C" w:rsidRPr="00A3168A">
        <w:t>aktualizáci</w:t>
      </w:r>
      <w:r w:rsidR="00BB24A8" w:rsidRPr="00A3168A">
        <w:t>a</w:t>
      </w:r>
      <w:r w:rsidR="004F302C" w:rsidRPr="00A3168A">
        <w:t xml:space="preserve"> softvérov, technick</w:t>
      </w:r>
      <w:r w:rsidR="00BB24A8" w:rsidRPr="00A3168A">
        <w:t>á</w:t>
      </w:r>
      <w:r w:rsidR="004F302C" w:rsidRPr="00A3168A">
        <w:t xml:space="preserve"> podpor</w:t>
      </w:r>
      <w:r w:rsidR="001D5D64" w:rsidRPr="00A3168A">
        <w:t>a</w:t>
      </w:r>
      <w:r w:rsidR="004F302C" w:rsidRPr="00A3168A">
        <w:t xml:space="preserve"> prevádzky</w:t>
      </w:r>
      <w:r w:rsidR="00A33C49" w:rsidRPr="00A3168A">
        <w:t xml:space="preserve"> </w:t>
      </w:r>
      <w:r w:rsidR="004F302C" w:rsidRPr="00A3168A">
        <w:t>informačného systému Kancelárie prezidenta</w:t>
      </w:r>
      <w:r w:rsidR="001D5D64" w:rsidRPr="00A3168A">
        <w:t>,</w:t>
      </w:r>
      <w:r w:rsidR="004F302C" w:rsidRPr="00A3168A">
        <w:t xml:space="preserve"> </w:t>
      </w:r>
      <w:r w:rsidR="001D5D64" w:rsidRPr="00A3168A">
        <w:t>údržba a oprava bezpečnostných zariadení, údržba a oprava kotlov, opravy kancelárskych</w:t>
      </w:r>
      <w:r w:rsidR="00A070D8" w:rsidRPr="00A3168A">
        <w:t xml:space="preserve">                                </w:t>
      </w:r>
      <w:r w:rsidR="001D5D64" w:rsidRPr="00A3168A">
        <w:t xml:space="preserve"> a prevádzkových prístrojov).</w:t>
      </w:r>
    </w:p>
    <w:p w14:paraId="0ECE1245" w14:textId="77777777" w:rsidR="005E7C1D" w:rsidRPr="00A3168A" w:rsidRDefault="005E7C1D" w:rsidP="004F302C">
      <w:pPr>
        <w:tabs>
          <w:tab w:val="left" w:pos="567"/>
        </w:tabs>
        <w:jc w:val="both"/>
      </w:pP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0"/>
      </w:tblGrid>
      <w:tr w:rsidR="004F66C3" w:rsidRPr="00A3168A" w14:paraId="19E9484E" w14:textId="77777777" w:rsidTr="004F66C3">
        <w:trPr>
          <w:trHeight w:val="315"/>
        </w:trPr>
        <w:tc>
          <w:tcPr>
            <w:tcW w:w="9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27AF" w14:textId="77777777" w:rsidR="004F66C3" w:rsidRPr="00A3168A" w:rsidRDefault="004F66C3">
            <w:pPr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Porovnanie čerpania finančných prostriedkov v rámci kategórie "Údržba":</w:t>
            </w:r>
          </w:p>
        </w:tc>
      </w:tr>
    </w:tbl>
    <w:p w14:paraId="45930876" w14:textId="5D0F2F0E" w:rsidR="005F2693" w:rsidRPr="00A3168A" w:rsidRDefault="005F2693" w:rsidP="004F302C">
      <w:pPr>
        <w:jc w:val="both"/>
        <w:rPr>
          <w:b/>
        </w:rPr>
      </w:pP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8"/>
        <w:gridCol w:w="1625"/>
        <w:gridCol w:w="1625"/>
        <w:gridCol w:w="2338"/>
      </w:tblGrid>
      <w:tr w:rsidR="00443ECA" w:rsidRPr="00A3168A" w14:paraId="02E2036B" w14:textId="77777777" w:rsidTr="00443ECA">
        <w:trPr>
          <w:trHeight w:val="330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7C94" w14:textId="77777777" w:rsidR="00443ECA" w:rsidRPr="00A3168A" w:rsidRDefault="00443ECA">
            <w:pPr>
              <w:rPr>
                <w:szCs w:val="20"/>
                <w:lang w:eastAsia="sk-SK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18B4" w14:textId="77777777" w:rsidR="00443ECA" w:rsidRPr="00A3168A" w:rsidRDefault="00443ECA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6A2F" w14:textId="77777777" w:rsidR="00443ECA" w:rsidRPr="00A3168A" w:rsidRDefault="00443ECA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8124" w14:textId="77777777" w:rsidR="00443ECA" w:rsidRPr="00A3168A" w:rsidRDefault="00443ECA">
            <w:pPr>
              <w:jc w:val="right"/>
              <w:rPr>
                <w:i/>
                <w:color w:val="000000"/>
              </w:rPr>
            </w:pPr>
            <w:r w:rsidRPr="00A3168A">
              <w:rPr>
                <w:i/>
                <w:color w:val="000000"/>
              </w:rPr>
              <w:t>v eurách</w:t>
            </w:r>
          </w:p>
        </w:tc>
      </w:tr>
      <w:tr w:rsidR="00443ECA" w:rsidRPr="00A3168A" w14:paraId="7DBBE796" w14:textId="77777777" w:rsidTr="00F666A5">
        <w:trPr>
          <w:trHeight w:val="315"/>
        </w:trPr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E255" w14:textId="77777777" w:rsidR="00443ECA" w:rsidRPr="00A3168A" w:rsidRDefault="00443EC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Druh výdavku 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B525" w14:textId="77777777" w:rsidR="00443ECA" w:rsidRPr="00A3168A" w:rsidRDefault="00443EC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rok 2019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03E3" w14:textId="77777777" w:rsidR="00443ECA" w:rsidRPr="00A3168A" w:rsidRDefault="00443EC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rok 2020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8052F" w14:textId="77777777" w:rsidR="00443ECA" w:rsidRPr="00A3168A" w:rsidRDefault="00443ECA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Rozdiel 2020 - 2019</w:t>
            </w:r>
          </w:p>
        </w:tc>
      </w:tr>
      <w:tr w:rsidR="00443ECA" w:rsidRPr="00A3168A" w14:paraId="3E2C7C8D" w14:textId="77777777" w:rsidTr="00443ECA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6E17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interiérového vybavenia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20EE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10 975,00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0342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1 392,00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1C8AE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-9 583,00</w:t>
            </w:r>
          </w:p>
        </w:tc>
      </w:tr>
      <w:tr w:rsidR="00443ECA" w:rsidRPr="00A3168A" w14:paraId="4B4E07A2" w14:textId="77777777" w:rsidTr="00443ECA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EFAF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výpočtovej techniky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EAD6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1 048,50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DA8D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4 325,70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F1FA6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3 277,20</w:t>
            </w:r>
          </w:p>
        </w:tc>
      </w:tr>
      <w:tr w:rsidR="00443ECA" w:rsidRPr="00A3168A" w14:paraId="6689133C" w14:textId="77777777" w:rsidTr="00D47587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B403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telekomunikačnej techniky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889D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2 396,68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F1B5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1 478,76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FA490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-917,92</w:t>
            </w:r>
          </w:p>
        </w:tc>
      </w:tr>
      <w:tr w:rsidR="00443ECA" w:rsidRPr="00A3168A" w14:paraId="405D2DC7" w14:textId="77777777" w:rsidTr="00FA490F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C65B" w14:textId="25B0E9E8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prevádzk</w:t>
            </w:r>
            <w:r w:rsidR="0087030A">
              <w:rPr>
                <w:color w:val="000000"/>
              </w:rPr>
              <w:t>ových strojov, prístrojov a zariadení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792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20 021,92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2C97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9 855,25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C91AB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-10 166,67</w:t>
            </w:r>
          </w:p>
        </w:tc>
      </w:tr>
      <w:tr w:rsidR="00443ECA" w:rsidRPr="00A3168A" w14:paraId="09C3773D" w14:textId="77777777" w:rsidTr="00FA490F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1145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špeciálnych strojov a zariadení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6613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3 163,22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B0DC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11 633,88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AA61C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8 470,66</w:t>
            </w:r>
          </w:p>
        </w:tc>
      </w:tr>
      <w:tr w:rsidR="00443ECA" w:rsidRPr="00A3168A" w14:paraId="20C8229C" w14:textId="77777777" w:rsidTr="00FA490F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0467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lastRenderedPageBreak/>
              <w:t>budov a objektov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A175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274 452,29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EEA0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142 639,88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C6A55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-131 812,41</w:t>
            </w:r>
          </w:p>
        </w:tc>
      </w:tr>
      <w:tr w:rsidR="00443ECA" w:rsidRPr="00A3168A" w14:paraId="028C7701" w14:textId="77777777" w:rsidTr="00443ECA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8B72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údržba softvéru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66E9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46 234,94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D1F7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45 157,98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91A1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-1 076,96</w:t>
            </w:r>
          </w:p>
        </w:tc>
      </w:tr>
      <w:tr w:rsidR="00443ECA" w:rsidRPr="00A3168A" w14:paraId="2D445500" w14:textId="77777777" w:rsidTr="00443ECA">
        <w:trPr>
          <w:trHeight w:val="315"/>
        </w:trPr>
        <w:tc>
          <w:tcPr>
            <w:tcW w:w="38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14F9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komunikačnej infraštruktúry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838B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8 858,32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5B96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5 726,59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C7F81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-3 131,73</w:t>
            </w:r>
          </w:p>
        </w:tc>
      </w:tr>
      <w:tr w:rsidR="00443ECA" w:rsidRPr="00A3168A" w14:paraId="1F87489B" w14:textId="77777777" w:rsidTr="00443ECA">
        <w:trPr>
          <w:trHeight w:val="315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B260" w14:textId="77777777" w:rsidR="00443ECA" w:rsidRPr="00A3168A" w:rsidRDefault="00443ECA">
            <w:pPr>
              <w:rPr>
                <w:color w:val="000000"/>
              </w:rPr>
            </w:pPr>
            <w:r w:rsidRPr="00A3168A">
              <w:rPr>
                <w:color w:val="000000"/>
              </w:rPr>
              <w:t>ostatné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CA64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3D09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597,22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F72E3" w14:textId="77777777" w:rsidR="00443ECA" w:rsidRPr="00A3168A" w:rsidRDefault="00443ECA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597,22</w:t>
            </w:r>
          </w:p>
        </w:tc>
      </w:tr>
      <w:tr w:rsidR="00443ECA" w:rsidRPr="00A3168A" w14:paraId="7B5038EA" w14:textId="77777777" w:rsidTr="00F666A5">
        <w:trPr>
          <w:trHeight w:val="330"/>
        </w:trPr>
        <w:tc>
          <w:tcPr>
            <w:tcW w:w="38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297E" w14:textId="77777777" w:rsidR="00443ECA" w:rsidRPr="00A3168A" w:rsidRDefault="00443ECA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Spolu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8FAE" w14:textId="77777777" w:rsidR="00443ECA" w:rsidRPr="00A3168A" w:rsidRDefault="00443EC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367 150,87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D5EF" w14:textId="77777777" w:rsidR="00443ECA" w:rsidRPr="00A3168A" w:rsidRDefault="00443EC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222 807,26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115DA" w14:textId="77777777" w:rsidR="00443ECA" w:rsidRPr="00A3168A" w:rsidRDefault="00443ECA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-144 343,61</w:t>
            </w:r>
          </w:p>
        </w:tc>
      </w:tr>
    </w:tbl>
    <w:p w14:paraId="28E652BC" w14:textId="3D4BB4B4" w:rsidR="00A375C7" w:rsidRPr="00A3168A" w:rsidRDefault="00A375C7" w:rsidP="004F302C">
      <w:pPr>
        <w:jc w:val="both"/>
        <w:rPr>
          <w:b/>
        </w:rPr>
      </w:pPr>
    </w:p>
    <w:p w14:paraId="1C602181" w14:textId="77777777" w:rsidR="00FA490F" w:rsidRPr="00A3168A" w:rsidRDefault="00FA490F" w:rsidP="004F302C">
      <w:pPr>
        <w:jc w:val="both"/>
        <w:rPr>
          <w:b/>
        </w:rPr>
      </w:pPr>
    </w:p>
    <w:p w14:paraId="534287B0" w14:textId="5A3E739E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>636 – Nájomné za prenájom</w:t>
      </w:r>
      <w:r w:rsidRPr="00A3168A">
        <w:rPr>
          <w:sz w:val="20"/>
          <w:szCs w:val="20"/>
        </w:rPr>
        <w:t xml:space="preserve">           </w:t>
      </w:r>
    </w:p>
    <w:p w14:paraId="3A5C491F" w14:textId="13FAFEBE" w:rsidR="004F302C" w:rsidRPr="00A3168A" w:rsidRDefault="004F302C" w:rsidP="004F302C">
      <w:pPr>
        <w:ind w:left="2124" w:firstLine="708"/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Upravený rozpočet  :  </w:t>
      </w:r>
      <w:r w:rsidR="004937B1" w:rsidRPr="00A3168A">
        <w:rPr>
          <w:sz w:val="20"/>
          <w:szCs w:val="20"/>
        </w:rPr>
        <w:t>11 665,27</w:t>
      </w:r>
      <w:r w:rsidRPr="00A3168A">
        <w:rPr>
          <w:sz w:val="20"/>
          <w:szCs w:val="20"/>
        </w:rPr>
        <w:t xml:space="preserve"> eur</w:t>
      </w:r>
    </w:p>
    <w:p w14:paraId="016E1078" w14:textId="06F1F53A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   :  </w:t>
      </w:r>
      <w:r w:rsidR="004937B1" w:rsidRPr="00A3168A">
        <w:rPr>
          <w:sz w:val="20"/>
          <w:szCs w:val="20"/>
        </w:rPr>
        <w:t>11 665,27</w:t>
      </w:r>
      <w:r w:rsidRPr="00A3168A">
        <w:rPr>
          <w:sz w:val="20"/>
          <w:szCs w:val="20"/>
        </w:rPr>
        <w:t xml:space="preserve"> eur          </w:t>
      </w:r>
    </w:p>
    <w:p w14:paraId="767A75C6" w14:textId="3472104D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% plnenia  k UR      :       </w:t>
      </w:r>
      <w:r w:rsidR="00E512B4" w:rsidRPr="00A3168A">
        <w:rPr>
          <w:sz w:val="20"/>
          <w:szCs w:val="20"/>
        </w:rPr>
        <w:t>10</w:t>
      </w:r>
      <w:r w:rsidR="00C0545A" w:rsidRPr="00A3168A">
        <w:rPr>
          <w:sz w:val="20"/>
          <w:szCs w:val="20"/>
        </w:rPr>
        <w:t>0</w:t>
      </w:r>
      <w:r w:rsidR="00985D13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%</w:t>
      </w:r>
    </w:p>
    <w:p w14:paraId="5305373F" w14:textId="71C4F8B9" w:rsidR="00646A8E" w:rsidRPr="00A3168A" w:rsidRDefault="004F302C" w:rsidP="001757E0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––––––––––––––––</w:t>
      </w:r>
      <w:r w:rsidR="001757E0" w:rsidRPr="00A3168A">
        <w:rPr>
          <w:sz w:val="20"/>
          <w:szCs w:val="20"/>
        </w:rPr>
        <w:t>–––––––––––––</w:t>
      </w:r>
    </w:p>
    <w:p w14:paraId="2C86C08D" w14:textId="77777777" w:rsidR="00776011" w:rsidRPr="00A3168A" w:rsidRDefault="00776011" w:rsidP="001757E0">
      <w:pPr>
        <w:jc w:val="both"/>
        <w:rPr>
          <w:sz w:val="20"/>
          <w:szCs w:val="20"/>
        </w:rPr>
      </w:pPr>
    </w:p>
    <w:p w14:paraId="0A255D1B" w14:textId="3CBA63D2" w:rsidR="008F6639" w:rsidRPr="00A3168A" w:rsidRDefault="004F302C" w:rsidP="004F302C">
      <w:pPr>
        <w:tabs>
          <w:tab w:val="left" w:pos="567"/>
        </w:tabs>
        <w:jc w:val="both"/>
      </w:pPr>
      <w:r w:rsidRPr="00A3168A">
        <w:tab/>
        <w:t xml:space="preserve">Výdavky na tejto položke </w:t>
      </w:r>
      <w:r w:rsidR="0062360E" w:rsidRPr="00A3168A">
        <w:t>preds</w:t>
      </w:r>
      <w:r w:rsidR="001669C6" w:rsidRPr="00A3168A">
        <w:t>tavujú 0,8 %-</w:t>
      </w:r>
      <w:r w:rsidR="0062360E" w:rsidRPr="00A3168A">
        <w:t>ný podiel na celkových výdavkoch kategórie 630 – Tovary a služby. Výdavky v</w:t>
      </w:r>
      <w:r w:rsidRPr="00A3168A">
        <w:t xml:space="preserve">yplývajú z povinnosti úhrad nájomného za regionálne pracoviská </w:t>
      </w:r>
      <w:r w:rsidR="0087030A">
        <w:t xml:space="preserve">Kancelárie prezidenta </w:t>
      </w:r>
      <w:r w:rsidRPr="00A3168A">
        <w:t>v Banskej Bystrici a v Košiciach a za prenájo</w:t>
      </w:r>
      <w:r w:rsidR="00FA490F" w:rsidRPr="00A3168A">
        <w:t>m záhrady p</w:t>
      </w:r>
      <w:r w:rsidR="00270880" w:rsidRPr="00A3168A">
        <w:t>rezidentského paláca, prenájom priestorov počas pracovných výjazdov po Slovensku (</w:t>
      </w:r>
      <w:r w:rsidR="004937B1" w:rsidRPr="00A3168A">
        <w:t>7 582,28</w:t>
      </w:r>
      <w:r w:rsidRPr="00A3168A">
        <w:t xml:space="preserve"> eur). </w:t>
      </w:r>
    </w:p>
    <w:p w14:paraId="567199E4" w14:textId="1CD38545" w:rsidR="000024F1" w:rsidRPr="00A3168A" w:rsidRDefault="008F6639" w:rsidP="004F302C">
      <w:pPr>
        <w:tabs>
          <w:tab w:val="left" w:pos="567"/>
        </w:tabs>
        <w:jc w:val="both"/>
      </w:pPr>
      <w:r w:rsidRPr="00A3168A">
        <w:tab/>
      </w:r>
      <w:r w:rsidR="004F302C" w:rsidRPr="00A3168A">
        <w:t>Z tejto položky bolo hradené aj nájomné za prenáj</w:t>
      </w:r>
      <w:r w:rsidR="00F01462" w:rsidRPr="00A3168A">
        <w:t xml:space="preserve">om </w:t>
      </w:r>
      <w:r w:rsidR="00AD46B2" w:rsidRPr="00A3168A">
        <w:t xml:space="preserve">prevádzkových </w:t>
      </w:r>
      <w:r w:rsidR="00F01462" w:rsidRPr="00A3168A">
        <w:t>strojov, prístrojov, poštových priečinkov,</w:t>
      </w:r>
      <w:r w:rsidR="00B85974" w:rsidRPr="00A3168A">
        <w:t xml:space="preserve"> </w:t>
      </w:r>
      <w:r w:rsidR="004F302C" w:rsidRPr="00A3168A">
        <w:t>umeleckých diel</w:t>
      </w:r>
      <w:r w:rsidR="004F6FAA" w:rsidRPr="00A3168A">
        <w:t>, zbierkových predmetov</w:t>
      </w:r>
      <w:r w:rsidR="004F302C" w:rsidRPr="00A3168A">
        <w:t xml:space="preserve"> v priestoroch budov v správe Kancelárie prezidenta (</w:t>
      </w:r>
      <w:r w:rsidR="004937B1" w:rsidRPr="00A3168A">
        <w:t>4 082,99</w:t>
      </w:r>
      <w:r w:rsidR="009C34D8" w:rsidRPr="00A3168A">
        <w:t xml:space="preserve"> eur</w:t>
      </w:r>
      <w:r w:rsidR="00396091" w:rsidRPr="00A3168A">
        <w:t>)</w:t>
      </w:r>
      <w:r w:rsidR="00A5062D" w:rsidRPr="00A3168A">
        <w:t>.</w:t>
      </w:r>
      <w:r w:rsidR="0062360E" w:rsidRPr="00A3168A">
        <w:t xml:space="preserve"> </w:t>
      </w:r>
    </w:p>
    <w:p w14:paraId="5D12CA67" w14:textId="691E1AD5" w:rsidR="00CD2271" w:rsidRPr="00A3168A" w:rsidRDefault="00CD2271" w:rsidP="004F302C">
      <w:pPr>
        <w:tabs>
          <w:tab w:val="left" w:pos="567"/>
        </w:tabs>
        <w:jc w:val="both"/>
      </w:pPr>
    </w:p>
    <w:p w14:paraId="42F84382" w14:textId="77777777" w:rsidR="00FA490F" w:rsidRPr="00A3168A" w:rsidRDefault="00FA490F" w:rsidP="004F302C">
      <w:pPr>
        <w:tabs>
          <w:tab w:val="left" w:pos="567"/>
        </w:tabs>
        <w:jc w:val="both"/>
      </w:pPr>
    </w:p>
    <w:p w14:paraId="00168CAE" w14:textId="5F13F957" w:rsidR="004F302C" w:rsidRPr="00A3168A" w:rsidRDefault="004F302C" w:rsidP="004F302C">
      <w:pPr>
        <w:tabs>
          <w:tab w:val="left" w:pos="567"/>
        </w:tabs>
        <w:jc w:val="both"/>
        <w:rPr>
          <w:sz w:val="20"/>
          <w:szCs w:val="20"/>
        </w:rPr>
      </w:pPr>
      <w:r w:rsidRPr="00A3168A">
        <w:rPr>
          <w:b/>
        </w:rPr>
        <w:t>637 – Služby</w:t>
      </w:r>
      <w:r w:rsidRPr="00A3168A">
        <w:rPr>
          <w:sz w:val="20"/>
          <w:szCs w:val="20"/>
        </w:rPr>
        <w:t xml:space="preserve">                  </w:t>
      </w:r>
    </w:p>
    <w:p w14:paraId="7C1FA502" w14:textId="3E0BA94B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Upravený rozpočet  :  </w:t>
      </w:r>
      <w:r w:rsidR="001F5092" w:rsidRPr="00A3168A">
        <w:rPr>
          <w:sz w:val="20"/>
          <w:szCs w:val="20"/>
        </w:rPr>
        <w:t>756 777,98</w:t>
      </w:r>
      <w:r w:rsidRPr="00A3168A">
        <w:rPr>
          <w:sz w:val="20"/>
          <w:szCs w:val="20"/>
        </w:rPr>
        <w:t xml:space="preserve"> eur</w:t>
      </w:r>
    </w:p>
    <w:p w14:paraId="650A279A" w14:textId="1A33C58D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   :  </w:t>
      </w:r>
      <w:r w:rsidR="001F5092" w:rsidRPr="00A3168A">
        <w:rPr>
          <w:sz w:val="20"/>
          <w:szCs w:val="20"/>
        </w:rPr>
        <w:t>756 776,74</w:t>
      </w:r>
      <w:r w:rsidRPr="00A3168A">
        <w:rPr>
          <w:sz w:val="20"/>
          <w:szCs w:val="20"/>
        </w:rPr>
        <w:t xml:space="preserve"> eur          </w:t>
      </w:r>
    </w:p>
    <w:p w14:paraId="519E1962" w14:textId="3F178973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% plnenia  k UR     :         </w:t>
      </w:r>
      <w:r w:rsidR="00DA5472" w:rsidRPr="00A3168A">
        <w:rPr>
          <w:sz w:val="20"/>
          <w:szCs w:val="20"/>
        </w:rPr>
        <w:t>100</w:t>
      </w:r>
      <w:r w:rsidR="009730A7" w:rsidRPr="00A3168A">
        <w:rPr>
          <w:sz w:val="20"/>
          <w:szCs w:val="20"/>
        </w:rPr>
        <w:t xml:space="preserve"> </w:t>
      </w:r>
      <w:r w:rsidRPr="00A3168A">
        <w:rPr>
          <w:sz w:val="20"/>
          <w:szCs w:val="20"/>
        </w:rPr>
        <w:t xml:space="preserve"> %</w:t>
      </w:r>
    </w:p>
    <w:p w14:paraId="3940A7A8" w14:textId="77777777" w:rsidR="004F302C" w:rsidRPr="00A3168A" w:rsidRDefault="004F302C" w:rsidP="004F302C">
      <w:pPr>
        <w:jc w:val="both"/>
        <w:rPr>
          <w:b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––––––––––––––––––––––––––––</w:t>
      </w:r>
    </w:p>
    <w:p w14:paraId="006CB6D2" w14:textId="77777777" w:rsidR="004F302C" w:rsidRPr="00A3168A" w:rsidRDefault="004F302C" w:rsidP="004F302C">
      <w:pPr>
        <w:jc w:val="both"/>
      </w:pPr>
    </w:p>
    <w:p w14:paraId="7DC55A1F" w14:textId="18456985" w:rsidR="009A2B70" w:rsidRDefault="004F302C" w:rsidP="000024F1">
      <w:pPr>
        <w:tabs>
          <w:tab w:val="left" w:pos="567"/>
        </w:tabs>
        <w:jc w:val="both"/>
      </w:pPr>
      <w:r w:rsidRPr="00A3168A">
        <w:tab/>
      </w:r>
      <w:r w:rsidR="001F5092" w:rsidRPr="00A3168A">
        <w:t>Služby sa v roku 2020</w:t>
      </w:r>
      <w:r w:rsidRPr="00A3168A">
        <w:t xml:space="preserve"> podieľali </w:t>
      </w:r>
      <w:r w:rsidR="001F5092" w:rsidRPr="00A3168A">
        <w:t>51,82</w:t>
      </w:r>
      <w:r w:rsidR="009730A7" w:rsidRPr="00A3168A">
        <w:t xml:space="preserve"> </w:t>
      </w:r>
      <w:r w:rsidRPr="00A3168A">
        <w:t xml:space="preserve">% na celkovom čerpaní položky 630 – Tovary a služby, čo vo finančnom vyjadrení predstavovalo </w:t>
      </w:r>
      <w:r w:rsidR="001F5092" w:rsidRPr="00A3168A">
        <w:t>756 776,74</w:t>
      </w:r>
      <w:r w:rsidRPr="00A3168A">
        <w:t xml:space="preserve"> eur. Táto položka zahŕňa</w:t>
      </w:r>
      <w:r w:rsidR="0010283D" w:rsidRPr="00A3168A">
        <w:t>:</w:t>
      </w:r>
      <w:r w:rsidRPr="00A3168A">
        <w:t xml:space="preserve"> </w:t>
      </w:r>
      <w:r w:rsidR="002F7BAB" w:rsidRPr="00A3168A">
        <w:t xml:space="preserve">rôzne </w:t>
      </w:r>
      <w:r w:rsidRPr="00A3168A">
        <w:t xml:space="preserve">výdavky za </w:t>
      </w:r>
      <w:r w:rsidR="002F7BAB" w:rsidRPr="00A3168A">
        <w:t xml:space="preserve">služby ako napríklad </w:t>
      </w:r>
      <w:r w:rsidR="00FB3C5D" w:rsidRPr="00A3168A">
        <w:t>vzdelávanie a školenia</w:t>
      </w:r>
      <w:r w:rsidR="00981920" w:rsidRPr="00A3168A">
        <w:t xml:space="preserve"> zamestnancov,</w:t>
      </w:r>
      <w:r w:rsidRPr="00A3168A">
        <w:t xml:space="preserve"> tlačiarenské</w:t>
      </w:r>
      <w:r w:rsidR="00981920" w:rsidRPr="00A3168A">
        <w:t xml:space="preserve"> a grafické</w:t>
      </w:r>
      <w:r w:rsidRPr="00A3168A">
        <w:t xml:space="preserve"> práce, tlmočnícku činnosť, monitoring, revízie</w:t>
      </w:r>
      <w:r w:rsidR="00981920" w:rsidRPr="00A3168A">
        <w:t>, prehliadky</w:t>
      </w:r>
      <w:r w:rsidRPr="00A3168A">
        <w:t xml:space="preserve"> a kontroly zariadení, </w:t>
      </w:r>
      <w:r w:rsidR="00981920" w:rsidRPr="00A3168A">
        <w:t xml:space="preserve">upratovacie a čistiace práce, </w:t>
      </w:r>
      <w:r w:rsidRPr="00A3168A">
        <w:t xml:space="preserve">poistenie majetku, príspevok na stravovanie zamestnancom, povinný prídel </w:t>
      </w:r>
      <w:r w:rsidR="00A375C7" w:rsidRPr="00A3168A">
        <w:t xml:space="preserve">         </w:t>
      </w:r>
      <w:r w:rsidRPr="00A3168A">
        <w:t>do sociálneho fondu, odmeny za práce vykonané na základe dohôd o vykonaní práce a pracovnej činnosti, dane z nehnuteľností,</w:t>
      </w:r>
      <w:r w:rsidR="002F7BAB" w:rsidRPr="00A3168A">
        <w:t xml:space="preserve"> </w:t>
      </w:r>
      <w:r w:rsidR="00FB3C5D" w:rsidRPr="00A3168A">
        <w:t xml:space="preserve">poplatky </w:t>
      </w:r>
      <w:r w:rsidR="002F7BAB" w:rsidRPr="00A3168A">
        <w:t>za odvoz a likvidáciu odpadov, služby v </w:t>
      </w:r>
      <w:r w:rsidR="0010283D" w:rsidRPr="00A3168A">
        <w:t xml:space="preserve">oblasti reklamy a propagácie, reprezentačné </w:t>
      </w:r>
      <w:r w:rsidR="00B54ECD" w:rsidRPr="00A3168A">
        <w:t>pod.</w:t>
      </w:r>
      <w:r w:rsidR="00E32B3B" w:rsidRPr="00A3168A">
        <w:t xml:space="preserve"> </w:t>
      </w:r>
    </w:p>
    <w:p w14:paraId="39EDC764" w14:textId="77777777" w:rsidR="00603296" w:rsidRPr="00A3168A" w:rsidRDefault="00603296" w:rsidP="000024F1">
      <w:pPr>
        <w:tabs>
          <w:tab w:val="left" w:pos="567"/>
        </w:tabs>
        <w:jc w:val="both"/>
      </w:pPr>
    </w:p>
    <w:p w14:paraId="2BBCA5CE" w14:textId="77777777" w:rsidR="004F302C" w:rsidRPr="00A3168A" w:rsidRDefault="001A0E43" w:rsidP="001A0E43">
      <w:pPr>
        <w:ind w:firstLine="142"/>
        <w:jc w:val="both"/>
      </w:pPr>
      <w:r w:rsidRPr="00A3168A">
        <w:t xml:space="preserve">       </w:t>
      </w:r>
      <w:r w:rsidR="00B54ECD" w:rsidRPr="00A3168A">
        <w:t>V rámci tejto položky</w:t>
      </w:r>
      <w:r w:rsidR="000432BA" w:rsidRPr="00A3168A">
        <w:t xml:space="preserve"> najvyššie</w:t>
      </w:r>
      <w:r w:rsidR="004F302C" w:rsidRPr="00A3168A">
        <w:t xml:space="preserve"> čerpanie </w:t>
      </w:r>
      <w:r w:rsidR="000432BA" w:rsidRPr="00A3168A">
        <w:t>predstavujú nasledujúce</w:t>
      </w:r>
      <w:r w:rsidR="004F302C" w:rsidRPr="00A3168A">
        <w:t xml:space="preserve"> podpoložk</w:t>
      </w:r>
      <w:r w:rsidR="000432BA" w:rsidRPr="00A3168A">
        <w:t>y</w:t>
      </w:r>
      <w:r w:rsidR="004F302C" w:rsidRPr="00A3168A">
        <w:t>:</w:t>
      </w:r>
    </w:p>
    <w:p w14:paraId="7F319152" w14:textId="77777777" w:rsidR="000432BA" w:rsidRPr="00A3168A" w:rsidRDefault="000432BA" w:rsidP="001A0E43">
      <w:pPr>
        <w:ind w:firstLine="142"/>
        <w:jc w:val="both"/>
        <w:rPr>
          <w:highlight w:val="yellow"/>
        </w:rPr>
      </w:pPr>
    </w:p>
    <w:p w14:paraId="2BA0ED8D" w14:textId="5F15EFB6" w:rsidR="004F302C" w:rsidRPr="00A3168A" w:rsidRDefault="004F302C" w:rsidP="006E6691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ind w:left="284" w:hanging="284"/>
        <w:jc w:val="both"/>
      </w:pPr>
      <w:r w:rsidRPr="00A3168A">
        <w:t xml:space="preserve">637 004 </w:t>
      </w:r>
      <w:r w:rsidR="006E6691" w:rsidRPr="00A3168A">
        <w:t xml:space="preserve"> </w:t>
      </w:r>
      <w:r w:rsidRPr="00A3168A">
        <w:t xml:space="preserve">všeobecné služby vo výške </w:t>
      </w:r>
      <w:r w:rsidR="001F5092" w:rsidRPr="00A3168A">
        <w:t>231 625,81</w:t>
      </w:r>
      <w:r w:rsidRPr="00A3168A">
        <w:t xml:space="preserve"> eur, kde výrazný podiel na uvedenom čerpaní tvoria služby za tlmočenie a preklad, tlačiarenské práce, monitoringy, revízie a za upratovacie služby, </w:t>
      </w:r>
    </w:p>
    <w:p w14:paraId="57C61050" w14:textId="2E436F57" w:rsidR="004F302C" w:rsidRPr="00A3168A" w:rsidRDefault="004F302C" w:rsidP="00FA52D9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</w:pPr>
      <w:r w:rsidRPr="00A3168A">
        <w:t>637</w:t>
      </w:r>
      <w:r w:rsidR="006E6691" w:rsidRPr="00A3168A">
        <w:t> </w:t>
      </w:r>
      <w:r w:rsidRPr="00A3168A">
        <w:t>014</w:t>
      </w:r>
      <w:r w:rsidR="006E6691" w:rsidRPr="00A3168A">
        <w:t xml:space="preserve">   </w:t>
      </w:r>
      <w:r w:rsidR="00BE53DA" w:rsidRPr="00A3168A">
        <w:t xml:space="preserve">príspevok na </w:t>
      </w:r>
      <w:r w:rsidRPr="00A3168A">
        <w:t>stravovanie</w:t>
      </w:r>
      <w:r w:rsidR="00BE53DA" w:rsidRPr="00A3168A">
        <w:t xml:space="preserve"> zamestnancov vo vý</w:t>
      </w:r>
      <w:r w:rsidRPr="00A3168A">
        <w:t xml:space="preserve">ške </w:t>
      </w:r>
      <w:r w:rsidR="001F5092" w:rsidRPr="00A3168A">
        <w:t>66 924,39</w:t>
      </w:r>
      <w:r w:rsidR="00DA5472" w:rsidRPr="00A3168A">
        <w:t xml:space="preserve"> </w:t>
      </w:r>
      <w:r w:rsidRPr="00A3168A">
        <w:t xml:space="preserve">eur, </w:t>
      </w:r>
    </w:p>
    <w:p w14:paraId="646CC1F3" w14:textId="6118D3FB" w:rsidR="00206068" w:rsidRPr="00A3168A" w:rsidRDefault="00206068" w:rsidP="00FA52D9">
      <w:pPr>
        <w:numPr>
          <w:ilvl w:val="0"/>
          <w:numId w:val="3"/>
        </w:numPr>
        <w:tabs>
          <w:tab w:val="clear" w:pos="720"/>
          <w:tab w:val="num" w:pos="284"/>
        </w:tabs>
        <w:ind w:hanging="720"/>
        <w:jc w:val="both"/>
      </w:pPr>
      <w:r w:rsidRPr="00A3168A">
        <w:t xml:space="preserve">637 027 </w:t>
      </w:r>
      <w:r w:rsidR="006E6691" w:rsidRPr="00A3168A">
        <w:t xml:space="preserve">  </w:t>
      </w:r>
      <w:r w:rsidRPr="00A3168A">
        <w:t xml:space="preserve">odmeny zamestnancom mimo pracovného pomeru vo výške </w:t>
      </w:r>
      <w:r w:rsidR="001F5092" w:rsidRPr="00A3168A">
        <w:t>93 848,51</w:t>
      </w:r>
      <w:r w:rsidRPr="00A3168A">
        <w:t xml:space="preserve"> eur,</w:t>
      </w:r>
    </w:p>
    <w:p w14:paraId="1FB6B6A9" w14:textId="77777777" w:rsidR="00A070D8" w:rsidRPr="00A3168A" w:rsidRDefault="0038384D" w:rsidP="00FA52D9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</w:pPr>
      <w:r w:rsidRPr="00A3168A">
        <w:t>637</w:t>
      </w:r>
      <w:r w:rsidR="006E6691" w:rsidRPr="00A3168A">
        <w:t> </w:t>
      </w:r>
      <w:r w:rsidRPr="00A3168A">
        <w:t>035</w:t>
      </w:r>
      <w:r w:rsidR="006E6691" w:rsidRPr="00A3168A">
        <w:t xml:space="preserve"> </w:t>
      </w:r>
      <w:r w:rsidR="00A070D8" w:rsidRPr="00A3168A">
        <w:t xml:space="preserve">  </w:t>
      </w:r>
      <w:r w:rsidRPr="00A3168A">
        <w:t>d</w:t>
      </w:r>
      <w:r w:rsidR="00DB3B49" w:rsidRPr="00A3168A">
        <w:t xml:space="preserve">ane vo výške </w:t>
      </w:r>
      <w:r w:rsidR="00B8396F" w:rsidRPr="00A3168A">
        <w:t>48 311,59</w:t>
      </w:r>
      <w:r w:rsidR="00DB3B49" w:rsidRPr="00A3168A">
        <w:t xml:space="preserve"> eur hradené za nehnuteľnosti, ktoré sú</w:t>
      </w:r>
      <w:r w:rsidR="004861B1" w:rsidRPr="00A3168A">
        <w:t xml:space="preserve"> v správe </w:t>
      </w:r>
      <w:r w:rsidR="00BE53DA" w:rsidRPr="00A3168A">
        <w:t xml:space="preserve"> </w:t>
      </w:r>
      <w:r w:rsidR="004861B1" w:rsidRPr="00A3168A">
        <w:t xml:space="preserve">Kancelárie </w:t>
      </w:r>
      <w:r w:rsidR="00A070D8" w:rsidRPr="00A3168A">
        <w:t xml:space="preserve"> </w:t>
      </w:r>
    </w:p>
    <w:p w14:paraId="3B596EE7" w14:textId="7388A9F4" w:rsidR="00DB3B49" w:rsidRPr="00A3168A" w:rsidRDefault="00A070D8" w:rsidP="00A070D8">
      <w:pPr>
        <w:ind w:left="284"/>
        <w:jc w:val="both"/>
      </w:pPr>
      <w:r w:rsidRPr="00A3168A">
        <w:t xml:space="preserve">                </w:t>
      </w:r>
      <w:r w:rsidR="004861B1" w:rsidRPr="00A3168A">
        <w:t>prezidenta,</w:t>
      </w:r>
      <w:r w:rsidR="00657DA5" w:rsidRPr="00A3168A">
        <w:t xml:space="preserve"> koncesionárske poplatky, odvoz tuhého komunálneho odpadu</w:t>
      </w:r>
      <w:r w:rsidR="00F456C8" w:rsidRPr="00A3168A">
        <w:t>,</w:t>
      </w:r>
    </w:p>
    <w:p w14:paraId="469DA0F8" w14:textId="749A3B49" w:rsidR="00E32B3B" w:rsidRPr="00A3168A" w:rsidRDefault="008D070E" w:rsidP="004F302C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b/>
        </w:rPr>
      </w:pPr>
      <w:r w:rsidRPr="00A3168A">
        <w:t xml:space="preserve">637 036 </w:t>
      </w:r>
      <w:r w:rsidR="006E6691" w:rsidRPr="00A3168A">
        <w:t xml:space="preserve"> </w:t>
      </w:r>
      <w:r w:rsidRPr="00A3168A">
        <w:t xml:space="preserve">reprezentačné – catering  a ostatné výdavky vo výške </w:t>
      </w:r>
      <w:r w:rsidR="00B8396F" w:rsidRPr="00A3168A">
        <w:t>42 845,97</w:t>
      </w:r>
      <w:r w:rsidRPr="00A3168A">
        <w:t xml:space="preserve"> eur</w:t>
      </w:r>
      <w:r w:rsidR="00FA52D9" w:rsidRPr="00A3168A">
        <w:t>.</w:t>
      </w:r>
    </w:p>
    <w:p w14:paraId="5BE15395" w14:textId="77777777" w:rsidR="00A375C7" w:rsidRPr="00A3168A" w:rsidRDefault="00A375C7" w:rsidP="00A375C7">
      <w:pPr>
        <w:ind w:left="284"/>
        <w:jc w:val="both"/>
        <w:rPr>
          <w:b/>
        </w:rPr>
      </w:pPr>
    </w:p>
    <w:p w14:paraId="6F8E27A3" w14:textId="76FBEE5A" w:rsidR="00D47587" w:rsidRDefault="00D47587" w:rsidP="00D47587">
      <w:pPr>
        <w:ind w:left="284"/>
        <w:jc w:val="both"/>
        <w:rPr>
          <w:b/>
        </w:rPr>
      </w:pPr>
    </w:p>
    <w:p w14:paraId="50BD55F5" w14:textId="77777777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lastRenderedPageBreak/>
        <w:t>Položka 640 –  Bežné transfery</w:t>
      </w:r>
      <w:r w:rsidRPr="00A3168A">
        <w:rPr>
          <w:sz w:val="20"/>
          <w:szCs w:val="20"/>
        </w:rPr>
        <w:t xml:space="preserve">                  </w:t>
      </w:r>
    </w:p>
    <w:p w14:paraId="0A976675" w14:textId="0D343FB9" w:rsidR="004F302C" w:rsidRPr="00A3168A" w:rsidRDefault="004F302C" w:rsidP="004F302C">
      <w:pPr>
        <w:ind w:left="2832" w:firstLine="708"/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Upravený rozpočet :  </w:t>
      </w:r>
      <w:r w:rsidR="00260DC9" w:rsidRPr="00A3168A">
        <w:rPr>
          <w:sz w:val="20"/>
          <w:szCs w:val="20"/>
        </w:rPr>
        <w:t>244 828,94</w:t>
      </w:r>
      <w:r w:rsidRPr="00A3168A">
        <w:rPr>
          <w:sz w:val="20"/>
          <w:szCs w:val="20"/>
        </w:rPr>
        <w:t xml:space="preserve"> eur</w:t>
      </w:r>
    </w:p>
    <w:p w14:paraId="6D4250CC" w14:textId="1F0C5F68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         :  </w:t>
      </w:r>
      <w:r w:rsidR="00260DC9" w:rsidRPr="00A3168A">
        <w:rPr>
          <w:sz w:val="20"/>
          <w:szCs w:val="20"/>
        </w:rPr>
        <w:t>244 828,94</w:t>
      </w:r>
      <w:r w:rsidRPr="00A3168A">
        <w:rPr>
          <w:sz w:val="20"/>
          <w:szCs w:val="20"/>
        </w:rPr>
        <w:t xml:space="preserve"> eur       </w:t>
      </w:r>
    </w:p>
    <w:p w14:paraId="24228817" w14:textId="77777777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% plnenia  k UR     </w:t>
      </w:r>
      <w:r w:rsidR="00CC377F" w:rsidRPr="00A3168A">
        <w:rPr>
          <w:sz w:val="20"/>
          <w:szCs w:val="20"/>
        </w:rPr>
        <w:t xml:space="preserve">:        </w:t>
      </w:r>
      <w:r w:rsidR="00E512B4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%</w:t>
      </w:r>
    </w:p>
    <w:p w14:paraId="3B0B57F2" w14:textId="1A13D077" w:rsidR="007F6E6F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  –––––––––––––––––––––––––––</w:t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  <w:r w:rsidRPr="00A3168A">
        <w:rPr>
          <w:sz w:val="20"/>
          <w:szCs w:val="20"/>
        </w:rPr>
        <w:softHyphen/>
      </w:r>
    </w:p>
    <w:p w14:paraId="05311C15" w14:textId="77777777" w:rsidR="00285773" w:rsidRPr="00A3168A" w:rsidRDefault="00285773" w:rsidP="004F302C">
      <w:pPr>
        <w:jc w:val="both"/>
        <w:rPr>
          <w:sz w:val="20"/>
          <w:szCs w:val="20"/>
        </w:rPr>
      </w:pPr>
    </w:p>
    <w:p w14:paraId="1356EDEE" w14:textId="4070EA35" w:rsidR="00111958" w:rsidRPr="00A3168A" w:rsidRDefault="004F302C" w:rsidP="004F302C">
      <w:pPr>
        <w:tabs>
          <w:tab w:val="left" w:pos="567"/>
        </w:tabs>
        <w:jc w:val="both"/>
      </w:pPr>
      <w:r w:rsidRPr="00A3168A">
        <w:tab/>
        <w:t>Z bežných transferov Kancelária prezidenta vyplatila v súlade so zákonom č. 120/1993 Z.</w:t>
      </w:r>
      <w:r w:rsidR="00CC377F" w:rsidRPr="00A3168A">
        <w:t xml:space="preserve"> </w:t>
      </w:r>
      <w:r w:rsidRPr="00A3168A">
        <w:t>z. o platových pomeroch n</w:t>
      </w:r>
      <w:r w:rsidR="0087030A">
        <w:t>iektorých ústavných činiteľov Slovenskej republiky</w:t>
      </w:r>
      <w:r w:rsidRPr="00A3168A">
        <w:t xml:space="preserve"> v znení neskorších predpi</w:t>
      </w:r>
      <w:r w:rsidR="0087030A">
        <w:t>sov platy bývalým prezidentom Slovenskej republiky</w:t>
      </w:r>
      <w:r w:rsidR="00D448BB" w:rsidRPr="00A3168A">
        <w:t>, ďalej čerpala dispozičný fond prezidenta</w:t>
      </w:r>
      <w:r w:rsidR="002809FC" w:rsidRPr="00A3168A">
        <w:t xml:space="preserve"> republiky</w:t>
      </w:r>
      <w:r w:rsidRPr="00A3168A">
        <w:t xml:space="preserve">, vyplatila </w:t>
      </w:r>
      <w:r w:rsidR="00744E03" w:rsidRPr="00A3168A">
        <w:t>nemo</w:t>
      </w:r>
      <w:r w:rsidR="001E0ACE" w:rsidRPr="00A3168A">
        <w:t>cen</w:t>
      </w:r>
      <w:r w:rsidR="007729D5" w:rsidRPr="00A3168A">
        <w:t xml:space="preserve">ské dávky zamestnancom, odchodné, príplatky a </w:t>
      </w:r>
      <w:r w:rsidR="0062360E" w:rsidRPr="00A3168A">
        <w:t>príspevky</w:t>
      </w:r>
      <w:r w:rsidR="001E0ACE" w:rsidRPr="00A3168A">
        <w:t>.</w:t>
      </w:r>
      <w:r w:rsidR="00260DC9" w:rsidRPr="00A3168A">
        <w:t xml:space="preserve"> Schválený rozpočet na rok 2020</w:t>
      </w:r>
      <w:r w:rsidR="0062360E" w:rsidRPr="00A3168A">
        <w:t xml:space="preserve"> bol vo výške </w:t>
      </w:r>
      <w:r w:rsidR="00260DC9" w:rsidRPr="00A3168A">
        <w:t>214 390</w:t>
      </w:r>
      <w:r w:rsidR="00FA490F" w:rsidRPr="00A3168A">
        <w:t xml:space="preserve"> eur</w:t>
      </w:r>
      <w:r w:rsidR="007749C4" w:rsidRPr="00A3168A">
        <w:t>,</w:t>
      </w:r>
      <w:r w:rsidR="00FA490F" w:rsidRPr="00A3168A">
        <w:t xml:space="preserve"> doplnené na skutočné čerpanie vnútornými rozpočtovými opatreniami. </w:t>
      </w:r>
      <w:r w:rsidR="0062360E" w:rsidRPr="00A3168A">
        <w:t>V porovnaní s rokom 2019 bol nárast výdavkov o 59 691,18</w:t>
      </w:r>
      <w:r w:rsidR="00A375C7" w:rsidRPr="00A3168A">
        <w:t xml:space="preserve"> eur</w:t>
      </w:r>
      <w:r w:rsidR="0062360E" w:rsidRPr="00A3168A">
        <w:t>.</w:t>
      </w:r>
    </w:p>
    <w:p w14:paraId="7797FCE4" w14:textId="2049B09A" w:rsidR="00E328AF" w:rsidRPr="00A3168A" w:rsidRDefault="00E328AF" w:rsidP="005C26A1">
      <w:pPr>
        <w:jc w:val="both"/>
        <w:rPr>
          <w:b/>
          <w:bCs/>
          <w:color w:val="000000"/>
        </w:rPr>
      </w:pPr>
    </w:p>
    <w:p w14:paraId="70D9A4DE" w14:textId="2C3E92F1" w:rsidR="001E0ACE" w:rsidRPr="00A3168A" w:rsidRDefault="005C26A1" w:rsidP="005C26A1">
      <w:pPr>
        <w:jc w:val="both"/>
        <w:rPr>
          <w:b/>
          <w:bCs/>
          <w:color w:val="000000"/>
          <w:lang w:eastAsia="sk-SK"/>
        </w:rPr>
      </w:pPr>
      <w:r w:rsidRPr="00A3168A">
        <w:rPr>
          <w:b/>
          <w:bCs/>
          <w:color w:val="000000"/>
        </w:rPr>
        <w:t xml:space="preserve">Porovnanie čerpania bežných transferov za roky 2019 - 2020 </w:t>
      </w:r>
    </w:p>
    <w:tbl>
      <w:tblPr>
        <w:tblW w:w="9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2560"/>
        <w:gridCol w:w="1840"/>
        <w:gridCol w:w="2200"/>
      </w:tblGrid>
      <w:tr w:rsidR="005C26A1" w:rsidRPr="00A3168A" w14:paraId="4F4B9B0D" w14:textId="77777777" w:rsidTr="005C26A1">
        <w:trPr>
          <w:trHeight w:val="33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02BD" w14:textId="77777777" w:rsidR="005C26A1" w:rsidRPr="00A3168A" w:rsidRDefault="005C26A1">
            <w:pPr>
              <w:rPr>
                <w:szCs w:val="20"/>
                <w:lang w:eastAsia="sk-SK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EBF8" w14:textId="77777777" w:rsidR="005C26A1" w:rsidRPr="00A3168A" w:rsidRDefault="005C26A1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64BA" w14:textId="77777777" w:rsidR="005C26A1" w:rsidRPr="00A3168A" w:rsidRDefault="005C26A1">
            <w:pPr>
              <w:rPr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3965" w14:textId="77777777" w:rsidR="005C26A1" w:rsidRPr="00A3168A" w:rsidRDefault="005C26A1">
            <w:pPr>
              <w:jc w:val="right"/>
              <w:rPr>
                <w:i/>
                <w:color w:val="000000"/>
              </w:rPr>
            </w:pPr>
            <w:r w:rsidRPr="00A3168A">
              <w:rPr>
                <w:i/>
                <w:color w:val="000000"/>
              </w:rPr>
              <w:t>v eurách</w:t>
            </w:r>
          </w:p>
        </w:tc>
      </w:tr>
      <w:tr w:rsidR="005C26A1" w:rsidRPr="00A3168A" w14:paraId="3768C7FB" w14:textId="77777777" w:rsidTr="005C26A1">
        <w:trPr>
          <w:trHeight w:val="315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6E1" w14:textId="77777777" w:rsidR="005C26A1" w:rsidRPr="00A3168A" w:rsidRDefault="005C26A1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Druh výdavku 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4174" w14:textId="77777777" w:rsidR="005C26A1" w:rsidRPr="00A3168A" w:rsidRDefault="005C26A1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2019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F66D" w14:textId="77777777" w:rsidR="005C26A1" w:rsidRPr="00A3168A" w:rsidRDefault="005C26A1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2020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19408" w14:textId="77777777" w:rsidR="005C26A1" w:rsidRPr="00A3168A" w:rsidRDefault="005C26A1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Rozdiel 2020 - 2019</w:t>
            </w:r>
          </w:p>
        </w:tc>
      </w:tr>
      <w:tr w:rsidR="005C26A1" w:rsidRPr="00A3168A" w14:paraId="6CC6E5C6" w14:textId="77777777" w:rsidTr="005C26A1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B030" w14:textId="77777777" w:rsidR="005C26A1" w:rsidRPr="00A3168A" w:rsidRDefault="005C26A1">
            <w:pPr>
              <w:rPr>
                <w:color w:val="000000"/>
              </w:rPr>
            </w:pPr>
            <w:r w:rsidRPr="00A3168A">
              <w:rPr>
                <w:color w:val="000000"/>
              </w:rPr>
              <w:t xml:space="preserve">odstupné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10A1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96 355,50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DF9B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130 441,50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12575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34 086,00</w:t>
            </w:r>
          </w:p>
        </w:tc>
      </w:tr>
      <w:tr w:rsidR="005C26A1" w:rsidRPr="00A3168A" w14:paraId="24B68876" w14:textId="77777777" w:rsidTr="005C26A1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C8D4" w14:textId="77777777" w:rsidR="005C26A1" w:rsidRPr="00A3168A" w:rsidRDefault="005C26A1">
            <w:pPr>
              <w:rPr>
                <w:color w:val="000000"/>
              </w:rPr>
            </w:pPr>
            <w:r w:rsidRPr="00A3168A">
              <w:rPr>
                <w:color w:val="000000"/>
              </w:rPr>
              <w:t>odchodné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3612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2E33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12 025,50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E3651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12 025,50</w:t>
            </w:r>
          </w:p>
        </w:tc>
      </w:tr>
      <w:tr w:rsidR="005C26A1" w:rsidRPr="00A3168A" w14:paraId="44640971" w14:textId="77777777" w:rsidTr="005C26A1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D1D7" w14:textId="77777777" w:rsidR="005C26A1" w:rsidRPr="00A3168A" w:rsidRDefault="005C26A1">
            <w:pPr>
              <w:rPr>
                <w:color w:val="000000"/>
              </w:rPr>
            </w:pPr>
            <w:r w:rsidRPr="00A3168A">
              <w:rPr>
                <w:color w:val="000000"/>
              </w:rPr>
              <w:t>dispozičný fond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D6B6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83 149,90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C109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E4398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12 350,10</w:t>
            </w:r>
          </w:p>
        </w:tc>
      </w:tr>
      <w:tr w:rsidR="005C26A1" w:rsidRPr="00A3168A" w14:paraId="2493188E" w14:textId="77777777" w:rsidTr="005C26A1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0B31" w14:textId="77777777" w:rsidR="005C26A1" w:rsidRPr="00A3168A" w:rsidRDefault="005C26A1">
            <w:pPr>
              <w:rPr>
                <w:color w:val="000000"/>
              </w:rPr>
            </w:pPr>
            <w:r w:rsidRPr="00A3168A">
              <w:rPr>
                <w:color w:val="000000"/>
              </w:rPr>
              <w:t>nemocenské dávky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3A28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5 632,36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E4D3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4 215,23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F59C1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-1 417,13</w:t>
            </w:r>
          </w:p>
        </w:tc>
      </w:tr>
      <w:tr w:rsidR="005C26A1" w:rsidRPr="00A3168A" w14:paraId="7A66BBE3" w14:textId="77777777" w:rsidTr="005C26A1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D874" w14:textId="77777777" w:rsidR="005C26A1" w:rsidRPr="00A3168A" w:rsidRDefault="005C26A1">
            <w:pPr>
              <w:rPr>
                <w:color w:val="000000"/>
              </w:rPr>
            </w:pPr>
            <w:r w:rsidRPr="00A3168A">
              <w:rPr>
                <w:color w:val="000000"/>
              </w:rPr>
              <w:t>príplatky a príspevky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9DF3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5BE1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2 646,71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A9019" w14:textId="77777777" w:rsidR="005C26A1" w:rsidRPr="00A3168A" w:rsidRDefault="005C26A1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2 646,71</w:t>
            </w:r>
          </w:p>
        </w:tc>
      </w:tr>
      <w:tr w:rsidR="005C26A1" w:rsidRPr="00A3168A" w14:paraId="09502500" w14:textId="77777777" w:rsidTr="005C26A1">
        <w:trPr>
          <w:trHeight w:val="330"/>
        </w:trPr>
        <w:tc>
          <w:tcPr>
            <w:tcW w:w="2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E521" w14:textId="77777777" w:rsidR="005C26A1" w:rsidRPr="00A3168A" w:rsidRDefault="005C26A1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Spolu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11F4" w14:textId="77777777" w:rsidR="005C26A1" w:rsidRPr="00A3168A" w:rsidRDefault="005C26A1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185 137,76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BE37" w14:textId="77777777" w:rsidR="005C26A1" w:rsidRPr="00A3168A" w:rsidRDefault="005C26A1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244 828,94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C387F" w14:textId="77777777" w:rsidR="005C26A1" w:rsidRPr="00A3168A" w:rsidRDefault="005C26A1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59 691,18</w:t>
            </w:r>
          </w:p>
        </w:tc>
      </w:tr>
    </w:tbl>
    <w:p w14:paraId="1B45701C" w14:textId="374B1340" w:rsidR="001E0ACE" w:rsidRDefault="001E0ACE" w:rsidP="004F302C">
      <w:pPr>
        <w:tabs>
          <w:tab w:val="left" w:pos="567"/>
        </w:tabs>
        <w:jc w:val="both"/>
      </w:pPr>
    </w:p>
    <w:p w14:paraId="562E47E7" w14:textId="77777777" w:rsidR="00816573" w:rsidRPr="00A3168A" w:rsidRDefault="00816573" w:rsidP="004F302C">
      <w:pPr>
        <w:tabs>
          <w:tab w:val="left" w:pos="567"/>
        </w:tabs>
        <w:jc w:val="both"/>
      </w:pPr>
    </w:p>
    <w:p w14:paraId="43E8BE1F" w14:textId="5A10EE13" w:rsidR="004A042D" w:rsidRPr="00A3168A" w:rsidRDefault="004A042D" w:rsidP="004F302C">
      <w:pPr>
        <w:tabs>
          <w:tab w:val="left" w:pos="567"/>
        </w:tabs>
        <w:jc w:val="both"/>
      </w:pPr>
    </w:p>
    <w:p w14:paraId="5B16C68D" w14:textId="77777777" w:rsidR="004F302C" w:rsidRPr="00A3168A" w:rsidRDefault="002E15C9" w:rsidP="004F302C">
      <w:pPr>
        <w:jc w:val="both"/>
        <w:rPr>
          <w:sz w:val="20"/>
          <w:szCs w:val="20"/>
        </w:rPr>
      </w:pPr>
      <w:r w:rsidRPr="00A3168A">
        <w:rPr>
          <w:b/>
          <w:szCs w:val="28"/>
        </w:rPr>
        <w:t xml:space="preserve"> </w:t>
      </w:r>
      <w:r w:rsidR="00B7100F" w:rsidRPr="00A3168A">
        <w:rPr>
          <w:b/>
          <w:szCs w:val="28"/>
        </w:rPr>
        <w:t xml:space="preserve">700 - </w:t>
      </w:r>
      <w:r w:rsidR="004F302C" w:rsidRPr="00A3168A">
        <w:rPr>
          <w:b/>
          <w:szCs w:val="28"/>
        </w:rPr>
        <w:t xml:space="preserve">Kapitálové výdavky     </w:t>
      </w:r>
      <w:r w:rsidR="004F302C" w:rsidRPr="00A3168A">
        <w:rPr>
          <w:b/>
          <w:szCs w:val="28"/>
        </w:rPr>
        <w:tab/>
        <w:t xml:space="preserve">                                    </w:t>
      </w:r>
      <w:r w:rsidR="004F302C" w:rsidRPr="00A3168A">
        <w:rPr>
          <w:sz w:val="20"/>
          <w:szCs w:val="20"/>
        </w:rPr>
        <w:t xml:space="preserve"> </w:t>
      </w:r>
    </w:p>
    <w:p w14:paraId="13CBE53E" w14:textId="241F4F29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Upravený rozpočet</w:t>
      </w:r>
      <w:r w:rsidRPr="00A3168A">
        <w:rPr>
          <w:sz w:val="20"/>
          <w:szCs w:val="20"/>
        </w:rPr>
        <w:tab/>
        <w:t xml:space="preserve">: </w:t>
      </w:r>
      <w:r w:rsidR="009F286C" w:rsidRPr="00A3168A">
        <w:rPr>
          <w:sz w:val="20"/>
          <w:szCs w:val="20"/>
        </w:rPr>
        <w:t>406 652,05</w:t>
      </w:r>
      <w:r w:rsidRPr="00A3168A">
        <w:rPr>
          <w:sz w:val="20"/>
          <w:szCs w:val="20"/>
        </w:rPr>
        <w:t xml:space="preserve"> eur  </w:t>
      </w:r>
    </w:p>
    <w:p w14:paraId="10264315" w14:textId="7F527505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b/>
        </w:rPr>
        <w:t xml:space="preserve">                                                                                            </w:t>
      </w:r>
      <w:r w:rsidRPr="00A3168A">
        <w:rPr>
          <w:sz w:val="20"/>
          <w:szCs w:val="20"/>
        </w:rPr>
        <w:t xml:space="preserve">Skutočnosť    </w:t>
      </w:r>
      <w:r w:rsidRPr="00A3168A">
        <w:rPr>
          <w:sz w:val="20"/>
          <w:szCs w:val="20"/>
        </w:rPr>
        <w:tab/>
        <w:t xml:space="preserve">: </w:t>
      </w:r>
      <w:r w:rsidR="009F286C" w:rsidRPr="00A3168A">
        <w:rPr>
          <w:sz w:val="20"/>
          <w:szCs w:val="20"/>
        </w:rPr>
        <w:t>406 652,05</w:t>
      </w:r>
      <w:r w:rsidRPr="00A3168A">
        <w:rPr>
          <w:sz w:val="20"/>
          <w:szCs w:val="20"/>
        </w:rPr>
        <w:t xml:space="preserve"> eur          </w:t>
      </w:r>
    </w:p>
    <w:p w14:paraId="26E84204" w14:textId="31932E78" w:rsidR="004F302C" w:rsidRPr="00A3168A" w:rsidRDefault="004F302C" w:rsidP="004F302C">
      <w:pPr>
        <w:jc w:val="both"/>
        <w:rPr>
          <w:sz w:val="20"/>
          <w:szCs w:val="20"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 % plnenia  k UR</w:t>
      </w:r>
      <w:r w:rsidRPr="00A3168A">
        <w:rPr>
          <w:sz w:val="20"/>
          <w:szCs w:val="20"/>
        </w:rPr>
        <w:tab/>
        <w:t xml:space="preserve">:          </w:t>
      </w:r>
      <w:r w:rsidR="009F286C" w:rsidRPr="00A3168A">
        <w:rPr>
          <w:sz w:val="20"/>
          <w:szCs w:val="20"/>
        </w:rPr>
        <w:t>100</w:t>
      </w:r>
      <w:r w:rsidRPr="00A3168A">
        <w:rPr>
          <w:sz w:val="20"/>
          <w:szCs w:val="20"/>
        </w:rPr>
        <w:t xml:space="preserve"> %</w:t>
      </w:r>
    </w:p>
    <w:p w14:paraId="37394E93" w14:textId="77777777" w:rsidR="004F302C" w:rsidRPr="00A3168A" w:rsidRDefault="004F302C" w:rsidP="004F302C">
      <w:pPr>
        <w:tabs>
          <w:tab w:val="center" w:pos="0"/>
        </w:tabs>
        <w:jc w:val="both"/>
        <w:rPr>
          <w:b/>
        </w:rPr>
      </w:pPr>
      <w:r w:rsidRPr="00A3168A">
        <w:rPr>
          <w:sz w:val="20"/>
          <w:szCs w:val="20"/>
        </w:rPr>
        <w:t xml:space="preserve">                                                                                                              ––––––––––––––––––––––––––––</w:t>
      </w:r>
    </w:p>
    <w:p w14:paraId="2C881CF1" w14:textId="77777777" w:rsidR="004F302C" w:rsidRPr="00A3168A" w:rsidRDefault="004F302C" w:rsidP="004F302C">
      <w:pPr>
        <w:tabs>
          <w:tab w:val="center" w:pos="0"/>
        </w:tabs>
        <w:jc w:val="both"/>
        <w:rPr>
          <w:b/>
        </w:rPr>
      </w:pPr>
      <w:r w:rsidRPr="00A3168A">
        <w:rPr>
          <w:b/>
        </w:rPr>
        <w:tab/>
      </w:r>
    </w:p>
    <w:p w14:paraId="7A0D71EB" w14:textId="6F1D1A7C" w:rsidR="006C68E0" w:rsidRDefault="004F302C" w:rsidP="006C68E0">
      <w:pPr>
        <w:tabs>
          <w:tab w:val="center" w:pos="0"/>
          <w:tab w:val="left" w:pos="567"/>
        </w:tabs>
        <w:jc w:val="both"/>
      </w:pPr>
      <w:r w:rsidRPr="00A3168A">
        <w:rPr>
          <w:b/>
        </w:rPr>
        <w:tab/>
      </w:r>
      <w:r w:rsidR="00422540" w:rsidRPr="00A3168A">
        <w:t>Upravený</w:t>
      </w:r>
      <w:r w:rsidR="00B7100F" w:rsidRPr="00A3168A">
        <w:t xml:space="preserve"> rozpočet výdavkov v hlavnej kategórii 700 k</w:t>
      </w:r>
      <w:r w:rsidRPr="00A3168A">
        <w:t xml:space="preserve">apitálové výdavky </w:t>
      </w:r>
      <w:r w:rsidR="005250AC" w:rsidRPr="00A3168A">
        <w:t xml:space="preserve">bol </w:t>
      </w:r>
      <w:r w:rsidR="009F286C" w:rsidRPr="00A3168A">
        <w:t>na rok 2020</w:t>
      </w:r>
      <w:r w:rsidRPr="00A3168A">
        <w:t xml:space="preserve">  pre Kanceláriu prezidenta schválen</w:t>
      </w:r>
      <w:r w:rsidR="00872804" w:rsidRPr="00A3168A">
        <w:t>ý</w:t>
      </w:r>
      <w:r w:rsidRPr="00A3168A">
        <w:t xml:space="preserve"> vo výške </w:t>
      </w:r>
      <w:r w:rsidR="009F286C" w:rsidRPr="00A3168A">
        <w:t>406 652,05</w:t>
      </w:r>
      <w:r w:rsidRPr="00A3168A">
        <w:t xml:space="preserve"> eur.</w:t>
      </w:r>
      <w:r w:rsidR="0064168B" w:rsidRPr="00A3168A">
        <w:t xml:space="preserve"> Prostriedky boli vyčlenené </w:t>
      </w:r>
      <w:r w:rsidR="00AA61C4" w:rsidRPr="00A3168A">
        <w:t xml:space="preserve">                          </w:t>
      </w:r>
      <w:r w:rsidR="00A63FA6" w:rsidRPr="00A3168A">
        <w:t xml:space="preserve">na </w:t>
      </w:r>
      <w:r w:rsidR="00411C07" w:rsidRPr="00A3168A">
        <w:t>nákup</w:t>
      </w:r>
      <w:r w:rsidR="00872804" w:rsidRPr="00A3168A">
        <w:t xml:space="preserve">: </w:t>
      </w:r>
      <w:r w:rsidR="009F286C" w:rsidRPr="00A3168A">
        <w:t xml:space="preserve">interiérového vybavenia, výpočtovej techniky, prevádzkových prístrojov, špeciálnych prístrojov, </w:t>
      </w:r>
      <w:r w:rsidR="00411C07" w:rsidRPr="00A3168A">
        <w:t>prípravnú a proje</w:t>
      </w:r>
      <w:r w:rsidR="00F27C1E" w:rsidRPr="00A3168A">
        <w:t>ktovú dokumentáciu, modernizáciu</w:t>
      </w:r>
      <w:r w:rsidR="00411C07" w:rsidRPr="00A3168A">
        <w:t xml:space="preserve"> a rekonštrukciu budov v správe Kancelárie prezidenta</w:t>
      </w:r>
      <w:r w:rsidR="00FD4EED" w:rsidRPr="00A3168A">
        <w:t xml:space="preserve">, </w:t>
      </w:r>
      <w:r w:rsidR="009F286C" w:rsidRPr="00A3168A">
        <w:t xml:space="preserve">rekonštrukciu a modernizáciu prevádzkových strojov a zariadení, </w:t>
      </w:r>
      <w:r w:rsidR="00411C07" w:rsidRPr="00A3168A">
        <w:t>rekonštrukciu a modernizáciu špeciálnyc</w:t>
      </w:r>
      <w:r w:rsidR="00872804" w:rsidRPr="00A3168A">
        <w:t>h strojov a zariadení.</w:t>
      </w:r>
      <w:r w:rsidR="0076422D" w:rsidRPr="00A3168A">
        <w:t xml:space="preserve"> </w:t>
      </w:r>
      <w:r w:rsidR="009F286C" w:rsidRPr="00A3168A">
        <w:t>V roku 2020</w:t>
      </w:r>
      <w:r w:rsidR="005517DC" w:rsidRPr="00A3168A">
        <w:t xml:space="preserve"> Kancelári</w:t>
      </w:r>
      <w:r w:rsidR="00411C07" w:rsidRPr="00A3168A">
        <w:t>a prezidenta z</w:t>
      </w:r>
      <w:r w:rsidR="005517DC" w:rsidRPr="00A3168A">
        <w:t xml:space="preserve"> kapitálových výdavkov vykonala úhrady v celkovej výške </w:t>
      </w:r>
      <w:r w:rsidR="009F286C" w:rsidRPr="00A3168A">
        <w:t>406 652,05</w:t>
      </w:r>
      <w:r w:rsidR="00A63FA6" w:rsidRPr="00A3168A">
        <w:t xml:space="preserve"> eur </w:t>
      </w:r>
      <w:r w:rsidR="0087030A">
        <w:t xml:space="preserve">– </w:t>
      </w:r>
      <w:r w:rsidR="00A63FA6" w:rsidRPr="00A3168A">
        <w:t>viď</w:t>
      </w:r>
      <w:r w:rsidR="00816573">
        <w:t>.</w:t>
      </w:r>
      <w:r w:rsidR="00A63FA6" w:rsidRPr="00A3168A">
        <w:t xml:space="preserve"> číselný prehľad.</w:t>
      </w:r>
    </w:p>
    <w:p w14:paraId="7AEFDABB" w14:textId="30B8F1F5" w:rsidR="00EF4F74" w:rsidRDefault="00EF4F74" w:rsidP="006C68E0">
      <w:pPr>
        <w:tabs>
          <w:tab w:val="center" w:pos="0"/>
          <w:tab w:val="left" w:pos="567"/>
        </w:tabs>
        <w:jc w:val="both"/>
      </w:pPr>
    </w:p>
    <w:p w14:paraId="42270498" w14:textId="757F425C" w:rsidR="004A042D" w:rsidRDefault="004A042D" w:rsidP="006C68E0">
      <w:pPr>
        <w:tabs>
          <w:tab w:val="center" w:pos="0"/>
          <w:tab w:val="left" w:pos="567"/>
        </w:tabs>
        <w:jc w:val="both"/>
      </w:pPr>
    </w:p>
    <w:p w14:paraId="2E21C294" w14:textId="111F4A0C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78686B33" w14:textId="7CAD9442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2A1D9C7E" w14:textId="1C98424B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1833EFC3" w14:textId="1A2448D7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7D0B2CFA" w14:textId="7F982E1F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0C2E454A" w14:textId="4527D64A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24549FD0" w14:textId="0B87887C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698BBD2F" w14:textId="6253B4F3" w:rsidR="00D9087F" w:rsidRDefault="00D9087F" w:rsidP="006C68E0">
      <w:pPr>
        <w:tabs>
          <w:tab w:val="center" w:pos="0"/>
          <w:tab w:val="left" w:pos="567"/>
        </w:tabs>
        <w:jc w:val="both"/>
      </w:pPr>
    </w:p>
    <w:p w14:paraId="4051C27E" w14:textId="77777777" w:rsidR="00D9087F" w:rsidRPr="00A3168A" w:rsidRDefault="00D9087F" w:rsidP="006C68E0">
      <w:pPr>
        <w:tabs>
          <w:tab w:val="center" w:pos="0"/>
          <w:tab w:val="left" w:pos="567"/>
        </w:tabs>
        <w:jc w:val="both"/>
      </w:pPr>
    </w:p>
    <w:p w14:paraId="5B245644" w14:textId="35614608" w:rsidR="009F286C" w:rsidRPr="00A3168A" w:rsidRDefault="00F60518" w:rsidP="00F60518">
      <w:pPr>
        <w:tabs>
          <w:tab w:val="center" w:pos="0"/>
          <w:tab w:val="left" w:pos="567"/>
        </w:tabs>
        <w:jc w:val="right"/>
        <w:rPr>
          <w:i/>
        </w:rPr>
      </w:pPr>
      <w:r w:rsidRPr="00A3168A">
        <w:rPr>
          <w:i/>
        </w:rPr>
        <w:lastRenderedPageBreak/>
        <w:t>v</w:t>
      </w:r>
      <w:r w:rsidR="00C07423" w:rsidRPr="00A3168A">
        <w:rPr>
          <w:i/>
        </w:rPr>
        <w:t> </w:t>
      </w:r>
      <w:r w:rsidRPr="00A3168A">
        <w:rPr>
          <w:i/>
        </w:rPr>
        <w:t>eurách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3"/>
        <w:gridCol w:w="1312"/>
        <w:gridCol w:w="1241"/>
        <w:gridCol w:w="1395"/>
        <w:gridCol w:w="1434"/>
      </w:tblGrid>
      <w:tr w:rsidR="0037005D" w:rsidRPr="00A3168A" w14:paraId="453D3125" w14:textId="77777777" w:rsidTr="00816573">
        <w:trPr>
          <w:trHeight w:val="320"/>
        </w:trPr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A236" w14:textId="77777777" w:rsidR="0037005D" w:rsidRPr="00A3168A" w:rsidRDefault="0037005D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CD08" w14:textId="77777777" w:rsidR="0037005D" w:rsidRPr="00A3168A" w:rsidRDefault="003700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Rozpočet 2020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7676" w14:textId="77777777" w:rsidR="0037005D" w:rsidRPr="00A3168A" w:rsidRDefault="003700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Skutočnosť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5C71" w14:textId="77777777" w:rsidR="0037005D" w:rsidRPr="00A3168A" w:rsidRDefault="003700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% plnenia                                                  k upravenému rozpočtu</w:t>
            </w:r>
          </w:p>
        </w:tc>
      </w:tr>
      <w:tr w:rsidR="0037005D" w:rsidRPr="00A3168A" w14:paraId="4A2CEACA" w14:textId="77777777" w:rsidTr="00816573">
        <w:trPr>
          <w:trHeight w:val="340"/>
        </w:trPr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26F7" w14:textId="77777777" w:rsidR="0037005D" w:rsidRPr="00A3168A" w:rsidRDefault="0037005D">
            <w:pPr>
              <w:rPr>
                <w:b/>
                <w:bCs/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B95B" w14:textId="77777777" w:rsidR="0037005D" w:rsidRPr="00A3168A" w:rsidRDefault="003700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Schválený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B9EB" w14:textId="77777777" w:rsidR="0037005D" w:rsidRPr="00A3168A" w:rsidRDefault="003700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Upravený 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2863" w14:textId="77777777" w:rsidR="0037005D" w:rsidRPr="00A3168A" w:rsidRDefault="0037005D">
            <w:pPr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4AC3" w14:textId="77777777" w:rsidR="0037005D" w:rsidRPr="00A3168A" w:rsidRDefault="0037005D">
            <w:pPr>
              <w:rPr>
                <w:b/>
                <w:bCs/>
                <w:color w:val="000000"/>
              </w:rPr>
            </w:pPr>
          </w:p>
        </w:tc>
      </w:tr>
      <w:tr w:rsidR="0037005D" w:rsidRPr="00A3168A" w14:paraId="40B738DA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19F4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85EC" w14:textId="77777777" w:rsidR="0037005D" w:rsidRPr="00A3168A" w:rsidRDefault="0037005D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I.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983D" w14:textId="77777777" w:rsidR="0037005D" w:rsidRPr="00A3168A" w:rsidRDefault="0037005D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060C" w14:textId="77777777" w:rsidR="0037005D" w:rsidRPr="00A3168A" w:rsidRDefault="0037005D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C271" w14:textId="77777777" w:rsidR="0037005D" w:rsidRPr="00A3168A" w:rsidRDefault="0037005D">
            <w:pPr>
              <w:jc w:val="center"/>
              <w:rPr>
                <w:color w:val="000000"/>
              </w:rPr>
            </w:pPr>
            <w:r w:rsidRPr="00A3168A">
              <w:rPr>
                <w:color w:val="000000"/>
              </w:rPr>
              <w:t>III./II.</w:t>
            </w:r>
          </w:p>
        </w:tc>
      </w:tr>
      <w:tr w:rsidR="0037005D" w:rsidRPr="00A3168A" w14:paraId="67A93BD0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C7D4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700 - Kapitálové výdavky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F88B" w14:textId="47836465" w:rsidR="0037005D" w:rsidRPr="00A3168A" w:rsidRDefault="0091651A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8 00</w:t>
            </w:r>
            <w:r w:rsidR="0037005D" w:rsidRPr="00A3168A">
              <w:rPr>
                <w:b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AEE2" w14:textId="77777777" w:rsidR="0037005D" w:rsidRPr="00A3168A" w:rsidRDefault="0037005D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406 652,05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EB64" w14:textId="77777777" w:rsidR="0037005D" w:rsidRPr="00A3168A" w:rsidRDefault="0037005D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406 652,05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4C9E" w14:textId="77777777" w:rsidR="0037005D" w:rsidRPr="00A3168A" w:rsidRDefault="0037005D">
            <w:pPr>
              <w:jc w:val="right"/>
              <w:rPr>
                <w:b/>
                <w:color w:val="000000"/>
              </w:rPr>
            </w:pPr>
            <w:r w:rsidRPr="00A3168A">
              <w:rPr>
                <w:b/>
                <w:color w:val="000000"/>
              </w:rPr>
              <w:t>100,00</w:t>
            </w:r>
          </w:p>
        </w:tc>
      </w:tr>
      <w:tr w:rsidR="0037005D" w:rsidRPr="00A3168A" w14:paraId="55403BDD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8269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 toho: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ECE8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64D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8F88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19CA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41680191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7331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713 001 - interiérové vybavenie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D37A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BD66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AFDF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D23B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41507F0E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F33D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43A6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250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822,51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47D8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822,51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F0F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587535AC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21B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4278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ADC9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39 986,91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010F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39 986,91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A532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4933517E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DE67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713 001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E3DE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9C4F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40 809,42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4251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40 809,42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D911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  <w:tr w:rsidR="0037005D" w:rsidRPr="00A3168A" w14:paraId="012A6257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4F8E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713 002 -výpočtovej techniky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DD7E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FBA0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DC3A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7244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</w:tr>
      <w:tr w:rsidR="0037005D" w:rsidRPr="00A3168A" w14:paraId="3BCCC32E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4998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299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048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11 916,00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BEBA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11 916,00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B4C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1211442F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9671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713 004 - prevádzkové stroje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6EAE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C5FA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ED93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ED8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117A0191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7C24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4C58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8 000,00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8897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BA4F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E0A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</w:tr>
      <w:tr w:rsidR="0037005D" w:rsidRPr="00A3168A" w14:paraId="3ED73727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DBF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4BE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810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7 557,48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D8C8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7 557,48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4D3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317F35F3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B1A7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713 004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2F60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8 000,00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82AB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7 557,48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9949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7 557,48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6414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  <w:tr w:rsidR="0037005D" w:rsidRPr="00A3168A" w14:paraId="168D79BB" w14:textId="77777777" w:rsidTr="00816573">
        <w:trPr>
          <w:trHeight w:val="320"/>
        </w:trPr>
        <w:tc>
          <w:tcPr>
            <w:tcW w:w="3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A1CA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713 005 - špeciálne stroje a prístroje </w:t>
            </w: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8359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B351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F6ED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CD64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6200B7F9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ACE9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4666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BC8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6 876,00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67AC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6 876,00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FDE9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7D429D8C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3DD0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716 - prípravná a projektová dokumentácia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2B1B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7CC8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D38E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D2B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32FC364B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0E8C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197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561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1 295,00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F61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1 295,00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918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22713791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9DB6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070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EB43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9 228,00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35C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9 228,00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8487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34634CC3" w14:textId="77777777" w:rsidTr="00816573">
        <w:trPr>
          <w:trHeight w:val="340"/>
        </w:trPr>
        <w:tc>
          <w:tcPr>
            <w:tcW w:w="39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D675A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716</w:t>
            </w:r>
          </w:p>
        </w:tc>
        <w:tc>
          <w:tcPr>
            <w:tcW w:w="13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D1F2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FA45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10 523,00</w:t>
            </w:r>
          </w:p>
        </w:tc>
        <w:tc>
          <w:tcPr>
            <w:tcW w:w="1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FC3D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10 523,00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7B76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  <w:tr w:rsidR="0037005D" w:rsidRPr="00A3168A" w14:paraId="5D863413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9A4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717 002 - rekonštrukcia a modernizácia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C273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71A6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A5CE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81AB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041D3E01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AB41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7F4F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B10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3 713,49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0DED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3 713,49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12C8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086E6245" w14:textId="77777777" w:rsidTr="00816573">
        <w:trPr>
          <w:trHeight w:val="34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05A71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9616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BFB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208 502,09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43F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208 502,09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4F7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6301ACAF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97BC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131I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B049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8A1B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12 287,41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77A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12 287,41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B515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74550B0E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AF68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717 002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0FF6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0869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224 502,99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9F40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224 502,99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44DF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  <w:tr w:rsidR="0037005D" w:rsidRPr="00A3168A" w14:paraId="32938FBD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A41F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718 004 - rekonštrukcia a modernizácia PS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1DB5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5BDA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B5C1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4BF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6887671B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2305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5D17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393D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2 169,00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92A1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2 169,00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108A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17418EC4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6302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131I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024A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C46C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81 001,51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408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81 001,51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0DA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4E078013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AE4C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718 004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832F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794B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83 170,51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F634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83 170,51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1F6D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  <w:tr w:rsidR="0037005D" w:rsidRPr="00A3168A" w14:paraId="1BE38AC0" w14:textId="77777777" w:rsidTr="00816573">
        <w:trPr>
          <w:trHeight w:val="32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109A" w14:textId="77777777" w:rsidR="0037005D" w:rsidRPr="00A3168A" w:rsidRDefault="003700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718 005 - rekonštrukcia a modernizácia ŠS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9C10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13E3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D1E4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FD49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37005D" w:rsidRPr="00A3168A" w14:paraId="7C61BEB5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A831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131J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71B5E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CE7F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2 820,05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DDE4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2 820,05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4220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2FBCD65F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13F9" w14:textId="77777777" w:rsidR="0037005D" w:rsidRPr="00A3168A" w:rsidRDefault="0037005D">
            <w:pPr>
              <w:rPr>
                <w:color w:val="000000"/>
              </w:rPr>
            </w:pPr>
            <w:r w:rsidRPr="00A3168A">
              <w:rPr>
                <w:color w:val="000000"/>
              </w:rPr>
              <w:t>zdroj 131I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18C9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D559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18 476,60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9AC2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18 476,60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062D" w14:textId="77777777" w:rsidR="0037005D" w:rsidRPr="00A3168A" w:rsidRDefault="003700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37005D" w:rsidRPr="00A3168A" w14:paraId="4A07D480" w14:textId="77777777" w:rsidTr="00816573">
        <w:trPr>
          <w:trHeight w:val="320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D52C" w14:textId="77777777" w:rsidR="0037005D" w:rsidRPr="00A3168A" w:rsidRDefault="0037005D">
            <w:pPr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Spolu 718 005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F0F3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466A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21 296,65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0377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21 296,65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8D20" w14:textId="77777777" w:rsidR="0037005D" w:rsidRPr="00A3168A" w:rsidRDefault="0037005D">
            <w:pPr>
              <w:jc w:val="right"/>
              <w:rPr>
                <w:bCs/>
                <w:color w:val="000000"/>
              </w:rPr>
            </w:pPr>
            <w:r w:rsidRPr="00A3168A">
              <w:rPr>
                <w:bCs/>
                <w:color w:val="000000"/>
              </w:rPr>
              <w:t>100,00</w:t>
            </w:r>
          </w:p>
        </w:tc>
      </w:tr>
    </w:tbl>
    <w:p w14:paraId="7A695D27" w14:textId="32A67417" w:rsidR="00C07423" w:rsidRPr="00A3168A" w:rsidRDefault="00C07423" w:rsidP="00F60518">
      <w:pPr>
        <w:tabs>
          <w:tab w:val="center" w:pos="0"/>
          <w:tab w:val="left" w:pos="567"/>
        </w:tabs>
        <w:jc w:val="right"/>
      </w:pPr>
    </w:p>
    <w:p w14:paraId="2BCB0113" w14:textId="075D5AFB" w:rsidR="00D47587" w:rsidRDefault="00D47587" w:rsidP="004F302C">
      <w:pPr>
        <w:tabs>
          <w:tab w:val="center" w:pos="4536"/>
        </w:tabs>
        <w:jc w:val="both"/>
      </w:pPr>
    </w:p>
    <w:p w14:paraId="23780A3B" w14:textId="77777777" w:rsidR="00816573" w:rsidRPr="00A3168A" w:rsidRDefault="00816573" w:rsidP="004F302C">
      <w:pPr>
        <w:tabs>
          <w:tab w:val="center" w:pos="4536"/>
        </w:tabs>
        <w:jc w:val="both"/>
      </w:pPr>
    </w:p>
    <w:p w14:paraId="12E3DD5D" w14:textId="40123EF0" w:rsidR="004F302C" w:rsidRPr="00A3168A" w:rsidRDefault="00776011" w:rsidP="00A375C7">
      <w:pPr>
        <w:pStyle w:val="Nadpis3"/>
        <w:numPr>
          <w:ilvl w:val="2"/>
          <w:numId w:val="27"/>
        </w:numPr>
        <w:rPr>
          <w:rFonts w:ascii="Times New Roman" w:hAnsi="Times New Roman" w:cs="Times New Roman"/>
          <w:shd w:val="clear" w:color="auto" w:fill="FFFFFF"/>
        </w:rPr>
      </w:pPr>
      <w:r w:rsidRPr="00A3168A">
        <w:rPr>
          <w:rFonts w:ascii="Times New Roman" w:hAnsi="Times New Roman" w:cs="Times New Roman"/>
          <w:shd w:val="clear" w:color="auto" w:fill="FFFFFF"/>
        </w:rPr>
        <w:lastRenderedPageBreak/>
        <w:t xml:space="preserve"> </w:t>
      </w:r>
      <w:bookmarkStart w:id="31" w:name="_Toc71783124"/>
      <w:r w:rsidR="004F302C" w:rsidRPr="00A3168A">
        <w:rPr>
          <w:rFonts w:ascii="Times New Roman" w:hAnsi="Times New Roman" w:cs="Times New Roman"/>
          <w:shd w:val="clear" w:color="auto" w:fill="FFFFFF"/>
        </w:rPr>
        <w:t>Výdavky kapitoly podľa funkčnej klasifikácie</w:t>
      </w:r>
      <w:bookmarkEnd w:id="31"/>
    </w:p>
    <w:p w14:paraId="4AAFFA46" w14:textId="77777777" w:rsidR="004F302C" w:rsidRPr="00A3168A" w:rsidRDefault="004F302C" w:rsidP="004F302C">
      <w:pPr>
        <w:tabs>
          <w:tab w:val="center" w:pos="4536"/>
        </w:tabs>
        <w:jc w:val="both"/>
        <w:rPr>
          <w:shd w:val="clear" w:color="auto" w:fill="FFFFFF"/>
        </w:rPr>
      </w:pPr>
    </w:p>
    <w:p w14:paraId="520189A4" w14:textId="757C845A" w:rsidR="00D47587" w:rsidRDefault="00603296" w:rsidP="00CD5684">
      <w:pPr>
        <w:ind w:firstLine="567"/>
        <w:rPr>
          <w:shd w:val="clear" w:color="auto" w:fill="FFFFFF"/>
        </w:rPr>
      </w:pPr>
      <w:r>
        <w:rPr>
          <w:shd w:val="clear" w:color="auto" w:fill="FFFFFF"/>
        </w:rPr>
        <w:t xml:space="preserve">   </w:t>
      </w:r>
      <w:r w:rsidR="004F302C" w:rsidRPr="00A3168A">
        <w:rPr>
          <w:shd w:val="clear" w:color="auto" w:fill="FFFFFF"/>
        </w:rPr>
        <w:t xml:space="preserve">Kancelária prezidenta  používa všetky rozpočtové prostriedky podľa funkčnej </w:t>
      </w:r>
      <w:r>
        <w:rPr>
          <w:shd w:val="clear" w:color="auto" w:fill="FFFFFF"/>
        </w:rPr>
        <w:t>k</w:t>
      </w:r>
      <w:r w:rsidR="004F302C" w:rsidRPr="00A3168A">
        <w:rPr>
          <w:shd w:val="clear" w:color="auto" w:fill="FFFFFF"/>
        </w:rPr>
        <w:t>lasifikácie pod číslom 0.1.1.1.</w:t>
      </w:r>
      <w:r w:rsidR="004F302C" w:rsidRPr="00A3168A">
        <w:rPr>
          <w:shd w:val="clear" w:color="auto" w:fill="FFFFFF"/>
        </w:rPr>
        <w:tab/>
      </w:r>
    </w:p>
    <w:p w14:paraId="44EE582C" w14:textId="77777777" w:rsidR="00E528FD" w:rsidRPr="00A3168A" w:rsidRDefault="00E528FD" w:rsidP="00CD5684">
      <w:pPr>
        <w:ind w:firstLine="567"/>
        <w:rPr>
          <w:shd w:val="clear" w:color="auto" w:fill="FFFFFF"/>
        </w:rPr>
      </w:pPr>
    </w:p>
    <w:p w14:paraId="2EFAA269" w14:textId="178AE501" w:rsidR="00CF12A0" w:rsidRPr="00A3168A" w:rsidRDefault="00CF12A0" w:rsidP="00776011">
      <w:pPr>
        <w:pStyle w:val="Nadpis3"/>
        <w:numPr>
          <w:ilvl w:val="2"/>
          <w:numId w:val="27"/>
        </w:numPr>
        <w:rPr>
          <w:rFonts w:ascii="Times New Roman" w:hAnsi="Times New Roman" w:cs="Times New Roman"/>
        </w:rPr>
      </w:pPr>
      <w:bookmarkStart w:id="32" w:name="_Toc71783125"/>
      <w:r w:rsidRPr="00A3168A">
        <w:rPr>
          <w:rFonts w:ascii="Times New Roman" w:hAnsi="Times New Roman" w:cs="Times New Roman"/>
        </w:rPr>
        <w:t xml:space="preserve">Výdavky kapitoly hradené z európskych prostriedkov </w:t>
      </w:r>
      <w:r w:rsidR="005D2D3D" w:rsidRPr="00A3168A">
        <w:rPr>
          <w:rFonts w:ascii="Times New Roman" w:hAnsi="Times New Roman" w:cs="Times New Roman"/>
        </w:rPr>
        <w:t>a spolufinancovania</w:t>
      </w:r>
      <w:bookmarkEnd w:id="32"/>
      <w:r w:rsidR="005D2D3D" w:rsidRPr="00A3168A">
        <w:rPr>
          <w:rFonts w:ascii="Times New Roman" w:hAnsi="Times New Roman" w:cs="Times New Roman"/>
        </w:rPr>
        <w:t xml:space="preserve"> </w:t>
      </w:r>
    </w:p>
    <w:p w14:paraId="60355190" w14:textId="77777777" w:rsidR="00CF12A0" w:rsidRPr="00A3168A" w:rsidRDefault="00CF12A0" w:rsidP="00CF12A0">
      <w:pPr>
        <w:ind w:firstLine="142"/>
        <w:jc w:val="both"/>
      </w:pPr>
    </w:p>
    <w:p w14:paraId="4886ED60" w14:textId="5B61076B" w:rsidR="00623025" w:rsidRPr="00A3168A" w:rsidRDefault="00603296" w:rsidP="00776011">
      <w:pPr>
        <w:ind w:firstLine="567"/>
        <w:jc w:val="both"/>
      </w:pPr>
      <w:r>
        <w:t xml:space="preserve">   </w:t>
      </w:r>
      <w:r w:rsidR="00E77E81" w:rsidRPr="00A3168A">
        <w:t xml:space="preserve">Kancelária prezidenta </w:t>
      </w:r>
      <w:r w:rsidR="00CE7D32" w:rsidRPr="00A3168A">
        <w:t xml:space="preserve">Slovenskej republiky </w:t>
      </w:r>
      <w:r w:rsidR="00E77E81" w:rsidRPr="00A3168A">
        <w:t xml:space="preserve">v roku 2020 nečerpala prostriedky z rozpočtu Európskej únie. </w:t>
      </w:r>
    </w:p>
    <w:p w14:paraId="1D758A12" w14:textId="77777777" w:rsidR="007749C4" w:rsidRPr="00A3168A" w:rsidRDefault="007749C4" w:rsidP="00776011">
      <w:pPr>
        <w:ind w:firstLine="567"/>
        <w:jc w:val="both"/>
      </w:pPr>
    </w:p>
    <w:p w14:paraId="7B4D5E07" w14:textId="196AE3E2" w:rsidR="009C357B" w:rsidRPr="00A3168A" w:rsidRDefault="00776011" w:rsidP="00776011">
      <w:pPr>
        <w:pStyle w:val="Nadpis3"/>
        <w:numPr>
          <w:ilvl w:val="2"/>
          <w:numId w:val="27"/>
        </w:numPr>
        <w:rPr>
          <w:rFonts w:ascii="Times New Roman" w:hAnsi="Times New Roman" w:cs="Times New Roman"/>
          <w:shd w:val="clear" w:color="auto" w:fill="FFFFFF"/>
        </w:rPr>
      </w:pPr>
      <w:r w:rsidRPr="00A3168A">
        <w:rPr>
          <w:rFonts w:ascii="Times New Roman" w:hAnsi="Times New Roman" w:cs="Times New Roman"/>
          <w:shd w:val="clear" w:color="auto" w:fill="FFFFFF"/>
        </w:rPr>
        <w:t xml:space="preserve"> </w:t>
      </w:r>
      <w:bookmarkStart w:id="33" w:name="_Toc71783126"/>
      <w:r w:rsidR="00424D94" w:rsidRPr="00A3168A">
        <w:rPr>
          <w:rFonts w:ascii="Times New Roman" w:hAnsi="Times New Roman" w:cs="Times New Roman"/>
          <w:shd w:val="clear" w:color="auto" w:fill="FFFFFF"/>
        </w:rPr>
        <w:t>Úpravy schváleného rozpočtu výdavkov v priebehu roka</w:t>
      </w:r>
      <w:bookmarkEnd w:id="33"/>
    </w:p>
    <w:p w14:paraId="621D30CC" w14:textId="77777777" w:rsidR="00F23710" w:rsidRPr="00A3168A" w:rsidRDefault="003377A5" w:rsidP="003377A5">
      <w:pPr>
        <w:tabs>
          <w:tab w:val="left" w:pos="567"/>
        </w:tabs>
        <w:jc w:val="both"/>
        <w:rPr>
          <w:shd w:val="clear" w:color="auto" w:fill="FFFFFF"/>
        </w:rPr>
      </w:pPr>
      <w:r w:rsidRPr="00A3168A">
        <w:rPr>
          <w:shd w:val="clear" w:color="auto" w:fill="FFFFFF"/>
        </w:rPr>
        <w:tab/>
      </w:r>
    </w:p>
    <w:p w14:paraId="7C78CB47" w14:textId="41EA78B8" w:rsidR="00D870E1" w:rsidRPr="00A3168A" w:rsidRDefault="003377A5" w:rsidP="003377A5">
      <w:pPr>
        <w:tabs>
          <w:tab w:val="left" w:pos="567"/>
        </w:tabs>
        <w:jc w:val="both"/>
        <w:rPr>
          <w:shd w:val="clear" w:color="auto" w:fill="FFFFFF"/>
        </w:rPr>
      </w:pPr>
      <w:r w:rsidRPr="00A3168A">
        <w:rPr>
          <w:shd w:val="clear" w:color="auto" w:fill="FFFFFF"/>
        </w:rPr>
        <w:tab/>
      </w:r>
      <w:r w:rsidR="003F1597" w:rsidRPr="00A3168A">
        <w:rPr>
          <w:shd w:val="clear" w:color="auto" w:fill="FFFFFF"/>
        </w:rPr>
        <w:t>V roku 2020</w:t>
      </w:r>
      <w:r w:rsidRPr="00A3168A">
        <w:rPr>
          <w:shd w:val="clear" w:color="auto" w:fill="FFFFFF"/>
        </w:rPr>
        <w:t xml:space="preserve"> bolo so súhlasom Ministerstva financií </w:t>
      </w:r>
      <w:r w:rsidR="00475581" w:rsidRPr="00A3168A">
        <w:rPr>
          <w:shd w:val="clear" w:color="auto" w:fill="FFFFFF"/>
        </w:rPr>
        <w:t>v</w:t>
      </w:r>
      <w:r w:rsidRPr="00A3168A">
        <w:rPr>
          <w:shd w:val="clear" w:color="auto" w:fill="FFFFFF"/>
        </w:rPr>
        <w:t xml:space="preserve">ykonaných v oblasti výdavkov (bežných aj kapitálových) </w:t>
      </w:r>
      <w:r w:rsidR="003F1597" w:rsidRPr="00A3168A">
        <w:rPr>
          <w:shd w:val="clear" w:color="auto" w:fill="FFFFFF"/>
        </w:rPr>
        <w:t>14</w:t>
      </w:r>
      <w:r w:rsidRPr="00A3168A">
        <w:rPr>
          <w:shd w:val="clear" w:color="auto" w:fill="FFFFFF"/>
        </w:rPr>
        <w:t xml:space="preserve"> rozpočtových opatrení</w:t>
      </w:r>
      <w:r w:rsidR="00FA490F" w:rsidRPr="00A3168A">
        <w:rPr>
          <w:shd w:val="clear" w:color="auto" w:fill="FFFFFF"/>
        </w:rPr>
        <w:t>. Z</w:t>
      </w:r>
      <w:r w:rsidR="00DB5020" w:rsidRPr="00A3168A">
        <w:rPr>
          <w:shd w:val="clear" w:color="auto" w:fill="FFFFFF"/>
        </w:rPr>
        <w:t>vyšné vykonané úpravy boli realizované v rámci vnútorných presunov, ktoré nepodliehajú schvaľovaniu Ministerstvom financ</w:t>
      </w:r>
      <w:r w:rsidR="00475581" w:rsidRPr="00A3168A">
        <w:rPr>
          <w:shd w:val="clear" w:color="auto" w:fill="FFFFFF"/>
        </w:rPr>
        <w:t>ií</w:t>
      </w:r>
      <w:r w:rsidR="00855B6D" w:rsidRPr="00A3168A">
        <w:rPr>
          <w:shd w:val="clear" w:color="auto" w:fill="FFFFFF"/>
        </w:rPr>
        <w:t xml:space="preserve"> </w:t>
      </w:r>
      <w:r w:rsidR="00A15907" w:rsidRPr="00A3168A">
        <w:rPr>
          <w:shd w:val="clear" w:color="auto" w:fill="FFFFFF"/>
        </w:rPr>
        <w:t>a nemali vplyv na zmenu záväzných ukazovateľov kapitoly Kancelárie prezidenta.</w:t>
      </w:r>
    </w:p>
    <w:p w14:paraId="6CE17D5C" w14:textId="3C50063E" w:rsidR="00304AA5" w:rsidRDefault="00304AA5" w:rsidP="003377A5">
      <w:pPr>
        <w:tabs>
          <w:tab w:val="left" w:pos="567"/>
        </w:tabs>
        <w:jc w:val="both"/>
        <w:rPr>
          <w:shd w:val="clear" w:color="auto" w:fill="FFFFFF"/>
        </w:rPr>
      </w:pPr>
    </w:p>
    <w:p w14:paraId="650C4686" w14:textId="77777777" w:rsidR="00816573" w:rsidRPr="00A3168A" w:rsidRDefault="00816573" w:rsidP="003377A5">
      <w:pPr>
        <w:tabs>
          <w:tab w:val="left" w:pos="567"/>
        </w:tabs>
        <w:jc w:val="both"/>
        <w:rPr>
          <w:shd w:val="clear" w:color="auto" w:fill="FFFFFF"/>
        </w:rPr>
      </w:pPr>
    </w:p>
    <w:p w14:paraId="5F5BBFED" w14:textId="065DA46F" w:rsidR="00902B57" w:rsidRPr="00986F31" w:rsidRDefault="00902B57" w:rsidP="00776011">
      <w:pPr>
        <w:pStyle w:val="Nadpis2"/>
        <w:numPr>
          <w:ilvl w:val="1"/>
          <w:numId w:val="27"/>
        </w:numPr>
        <w:rPr>
          <w:rFonts w:ascii="Times New Roman" w:hAnsi="Times New Roman" w:cs="Times New Roman"/>
          <w:b/>
        </w:rPr>
      </w:pPr>
      <w:bookmarkStart w:id="34" w:name="_Toc71783127"/>
      <w:r w:rsidRPr="00986F31">
        <w:rPr>
          <w:rFonts w:ascii="Times New Roman" w:hAnsi="Times New Roman" w:cs="Times New Roman"/>
          <w:b/>
        </w:rPr>
        <w:t>Finančné operácie</w:t>
      </w:r>
      <w:bookmarkEnd w:id="34"/>
    </w:p>
    <w:p w14:paraId="49DB17F9" w14:textId="78B13695" w:rsidR="0022256D" w:rsidRPr="00A3168A" w:rsidRDefault="0022256D" w:rsidP="00AB5E1E">
      <w:pPr>
        <w:jc w:val="both"/>
      </w:pPr>
    </w:p>
    <w:p w14:paraId="753393FB" w14:textId="1D2C6025" w:rsidR="004F302C" w:rsidRPr="00A3168A" w:rsidRDefault="004F302C" w:rsidP="0075684F">
      <w:pPr>
        <w:pStyle w:val="Nadpis3"/>
        <w:numPr>
          <w:ilvl w:val="2"/>
          <w:numId w:val="30"/>
        </w:numPr>
        <w:ind w:left="709" w:hanging="709"/>
        <w:rPr>
          <w:rFonts w:ascii="Times New Roman" w:hAnsi="Times New Roman" w:cs="Times New Roman"/>
          <w:shd w:val="clear" w:color="auto" w:fill="FFFFFF"/>
        </w:rPr>
      </w:pPr>
      <w:bookmarkStart w:id="35" w:name="_Toc71783128"/>
      <w:r w:rsidRPr="00A3168A">
        <w:rPr>
          <w:rFonts w:ascii="Times New Roman" w:hAnsi="Times New Roman" w:cs="Times New Roman"/>
          <w:shd w:val="clear" w:color="auto" w:fill="FFFFFF"/>
        </w:rPr>
        <w:t>Príjmové finančné operácie</w:t>
      </w:r>
      <w:bookmarkEnd w:id="35"/>
    </w:p>
    <w:p w14:paraId="56C0ECEF" w14:textId="77777777" w:rsidR="004F302C" w:rsidRPr="00A3168A" w:rsidRDefault="004F302C" w:rsidP="004F302C"/>
    <w:p w14:paraId="4D7F873A" w14:textId="7E1F218C" w:rsidR="00A070D8" w:rsidRDefault="00101ABE" w:rsidP="00101ABE">
      <w:pPr>
        <w:ind w:firstLine="567"/>
        <w:jc w:val="both"/>
      </w:pPr>
      <w:r w:rsidRPr="00A3168A">
        <w:t>Kapitola Kancelária prezidenta v hodnotenom období nemala žiadne príjmy v hlavnej kategórii 400 ekonomickej a rozpočtovej klasifikácie.</w:t>
      </w:r>
    </w:p>
    <w:p w14:paraId="58830E67" w14:textId="2EBC355A" w:rsidR="00A070D8" w:rsidRPr="00A3168A" w:rsidRDefault="00A070D8" w:rsidP="00AB5E1E">
      <w:pPr>
        <w:ind w:firstLine="567"/>
        <w:jc w:val="both"/>
      </w:pPr>
    </w:p>
    <w:p w14:paraId="0E7E066F" w14:textId="3F9427DA" w:rsidR="004F302C" w:rsidRPr="00A3168A" w:rsidRDefault="004F302C" w:rsidP="00484BFD">
      <w:pPr>
        <w:pStyle w:val="Nadpis3"/>
        <w:numPr>
          <w:ilvl w:val="2"/>
          <w:numId w:val="30"/>
        </w:numPr>
        <w:rPr>
          <w:rFonts w:ascii="Times New Roman" w:hAnsi="Times New Roman" w:cs="Times New Roman"/>
          <w:shd w:val="clear" w:color="auto" w:fill="FFFFFF"/>
        </w:rPr>
      </w:pPr>
      <w:bookmarkStart w:id="36" w:name="_Toc71783129"/>
      <w:r w:rsidRPr="00A3168A">
        <w:rPr>
          <w:rFonts w:ascii="Times New Roman" w:hAnsi="Times New Roman" w:cs="Times New Roman"/>
          <w:shd w:val="clear" w:color="auto" w:fill="FFFFFF"/>
        </w:rPr>
        <w:t>Výdavkové finančné operácie</w:t>
      </w:r>
      <w:bookmarkEnd w:id="36"/>
    </w:p>
    <w:p w14:paraId="13C999AF" w14:textId="77777777" w:rsidR="004F302C" w:rsidRPr="00A3168A" w:rsidRDefault="004F302C" w:rsidP="004F302C">
      <w:pPr>
        <w:ind w:firstLine="708"/>
        <w:jc w:val="both"/>
        <w:rPr>
          <w:shd w:val="clear" w:color="auto" w:fill="FFFFFF"/>
        </w:rPr>
      </w:pPr>
    </w:p>
    <w:p w14:paraId="38197B62" w14:textId="56F896EF" w:rsidR="00F01450" w:rsidRPr="00A3168A" w:rsidRDefault="00F01450" w:rsidP="00F01450">
      <w:pPr>
        <w:ind w:firstLine="567"/>
        <w:jc w:val="both"/>
      </w:pPr>
      <w:r w:rsidRPr="00A3168A">
        <w:t>Kapitola Kancelária prezidenta mala výdavky v hlavnej kategórii 800 ekonomi</w:t>
      </w:r>
      <w:r w:rsidR="00B22438" w:rsidRPr="00A3168A">
        <w:t>ckej a rozp</w:t>
      </w:r>
      <w:r w:rsidR="00E25B41" w:rsidRPr="00A3168A">
        <w:t>očtovej klasifikácie vo výške 50</w:t>
      </w:r>
      <w:r w:rsidR="00B22438" w:rsidRPr="00A3168A">
        <w:t> 000 eur. Jednalo sa o vrátenie finančných zábezpek  v súlade s § 46 ods. 7 písm. c) zákona č. 343/2015 Z. z. o verejnom obstarávaní.</w:t>
      </w:r>
    </w:p>
    <w:p w14:paraId="516B6C50" w14:textId="46F2017A" w:rsidR="002D2515" w:rsidRPr="00A3168A" w:rsidRDefault="002D2515" w:rsidP="00F01450">
      <w:pPr>
        <w:ind w:firstLine="567"/>
        <w:jc w:val="both"/>
      </w:pPr>
    </w:p>
    <w:p w14:paraId="27D21EA1" w14:textId="77777777" w:rsidR="001814CD" w:rsidRPr="00A3168A" w:rsidRDefault="001814CD" w:rsidP="00F01450">
      <w:pPr>
        <w:ind w:firstLine="567"/>
        <w:jc w:val="both"/>
      </w:pPr>
    </w:p>
    <w:p w14:paraId="0FF13A35" w14:textId="7FB3CA6D" w:rsidR="00CE52A9" w:rsidRPr="004A042D" w:rsidRDefault="002D2515" w:rsidP="004A042D">
      <w:pPr>
        <w:pStyle w:val="Nadpis2"/>
        <w:numPr>
          <w:ilvl w:val="1"/>
          <w:numId w:val="30"/>
        </w:numPr>
        <w:rPr>
          <w:rFonts w:ascii="Times New Roman" w:hAnsi="Times New Roman" w:cs="Times New Roman"/>
          <w:b/>
        </w:rPr>
      </w:pPr>
      <w:bookmarkStart w:id="37" w:name="_Toc71783130"/>
      <w:r w:rsidRPr="00986F31">
        <w:rPr>
          <w:rFonts w:ascii="Times New Roman" w:hAnsi="Times New Roman" w:cs="Times New Roman"/>
          <w:b/>
        </w:rPr>
        <w:t xml:space="preserve">Príjmy, výdavky a finančné operácie súvisiace s prijatými opatreniami </w:t>
      </w:r>
      <w:r w:rsidR="008E2365">
        <w:rPr>
          <w:rFonts w:ascii="Times New Roman" w:hAnsi="Times New Roman" w:cs="Times New Roman"/>
          <w:b/>
        </w:rPr>
        <w:t xml:space="preserve">                        </w:t>
      </w:r>
      <w:r w:rsidRPr="00986F31">
        <w:rPr>
          <w:rFonts w:ascii="Times New Roman" w:hAnsi="Times New Roman" w:cs="Times New Roman"/>
          <w:b/>
        </w:rPr>
        <w:t>na zmiernenie negatívnych následkov nebezpečnej nákazlivej ľudskej choroby COVID-19 a opatreniami prijatými na zabránenie jej šíreniu</w:t>
      </w:r>
      <w:bookmarkEnd w:id="37"/>
    </w:p>
    <w:p w14:paraId="7B1F305D" w14:textId="77777777" w:rsidR="00CE52A9" w:rsidRPr="00A3168A" w:rsidRDefault="00CE52A9" w:rsidP="00CE52A9">
      <w:pPr>
        <w:tabs>
          <w:tab w:val="center" w:pos="4536"/>
        </w:tabs>
        <w:ind w:left="567"/>
        <w:jc w:val="both"/>
      </w:pPr>
    </w:p>
    <w:p w14:paraId="2ECFFFF5" w14:textId="05D7746C" w:rsidR="00CE52A9" w:rsidRPr="00A3168A" w:rsidRDefault="00CE52A9" w:rsidP="00A375C7">
      <w:pPr>
        <w:pStyle w:val="Nadpis3"/>
        <w:numPr>
          <w:ilvl w:val="2"/>
          <w:numId w:val="29"/>
        </w:numPr>
        <w:rPr>
          <w:rFonts w:ascii="Times New Roman" w:hAnsi="Times New Roman" w:cs="Times New Roman"/>
        </w:rPr>
      </w:pPr>
      <w:bookmarkStart w:id="38" w:name="_Toc71783131"/>
      <w:r w:rsidRPr="00A3168A">
        <w:rPr>
          <w:rFonts w:ascii="Times New Roman" w:hAnsi="Times New Roman" w:cs="Times New Roman"/>
        </w:rPr>
        <w:t>Príjmy</w:t>
      </w:r>
      <w:bookmarkEnd w:id="38"/>
    </w:p>
    <w:p w14:paraId="52CA9412" w14:textId="68A4FCAD" w:rsidR="00CE52A9" w:rsidRPr="00A3168A" w:rsidRDefault="00CE52A9" w:rsidP="00CE52A9">
      <w:pPr>
        <w:pStyle w:val="Odsekzoznamu"/>
        <w:tabs>
          <w:tab w:val="center" w:pos="4536"/>
        </w:tabs>
        <w:jc w:val="both"/>
      </w:pPr>
    </w:p>
    <w:p w14:paraId="1C7E67D2" w14:textId="7EC5CE1B" w:rsidR="00CE52A9" w:rsidRPr="00A3168A" w:rsidRDefault="005B06A2" w:rsidP="00893C02">
      <w:pPr>
        <w:pStyle w:val="Odsekzoznamu"/>
        <w:ind w:left="0" w:firstLine="709"/>
        <w:jc w:val="both"/>
      </w:pPr>
      <w:r>
        <w:t xml:space="preserve">  </w:t>
      </w:r>
      <w:r w:rsidR="00CE52A9" w:rsidRPr="00A3168A">
        <w:t xml:space="preserve">Kancelária prezidenta </w:t>
      </w:r>
      <w:r w:rsidR="00BB478E" w:rsidRPr="00A3168A">
        <w:t xml:space="preserve">v hodnotenom období </w:t>
      </w:r>
      <w:r w:rsidR="00CE52A9" w:rsidRPr="00A3168A">
        <w:t xml:space="preserve">nemala príjmy </w:t>
      </w:r>
      <w:r w:rsidR="00AF3D6A" w:rsidRPr="00A3168A">
        <w:t>sú</w:t>
      </w:r>
      <w:r w:rsidR="00BB478E" w:rsidRPr="00A3168A">
        <w:t xml:space="preserve">visiace s prijatými opatreniami </w:t>
      </w:r>
      <w:r w:rsidR="00AF3D6A" w:rsidRPr="00A3168A">
        <w:t xml:space="preserve">na zmiernenie negatívnych následkov nebezpečnej nákazlivej ľudskej choroby COVID-19. </w:t>
      </w:r>
    </w:p>
    <w:p w14:paraId="5D4BB1F3" w14:textId="642244BD" w:rsidR="00CE52A9" w:rsidRPr="00A3168A" w:rsidRDefault="00CE52A9" w:rsidP="004A042D">
      <w:pPr>
        <w:tabs>
          <w:tab w:val="center" w:pos="4536"/>
        </w:tabs>
        <w:jc w:val="both"/>
      </w:pPr>
    </w:p>
    <w:p w14:paraId="483278B9" w14:textId="5FBEA926" w:rsidR="00CE52A9" w:rsidRPr="00A3168A" w:rsidRDefault="00CE52A9" w:rsidP="00A375C7">
      <w:pPr>
        <w:pStyle w:val="Nadpis3"/>
        <w:numPr>
          <w:ilvl w:val="2"/>
          <w:numId w:val="29"/>
        </w:numPr>
        <w:rPr>
          <w:rFonts w:ascii="Times New Roman" w:hAnsi="Times New Roman" w:cs="Times New Roman"/>
        </w:rPr>
      </w:pPr>
      <w:bookmarkStart w:id="39" w:name="_Toc71783132"/>
      <w:r w:rsidRPr="00A3168A">
        <w:rPr>
          <w:rFonts w:ascii="Times New Roman" w:hAnsi="Times New Roman" w:cs="Times New Roman"/>
        </w:rPr>
        <w:t>Výdavky</w:t>
      </w:r>
      <w:bookmarkEnd w:id="39"/>
    </w:p>
    <w:p w14:paraId="4980E844" w14:textId="2BFF169A" w:rsidR="00AF3D6A" w:rsidRPr="00A3168A" w:rsidRDefault="00AF3D6A" w:rsidP="00AF3D6A">
      <w:pPr>
        <w:pStyle w:val="Odsekzoznamu"/>
        <w:tabs>
          <w:tab w:val="center" w:pos="4536"/>
        </w:tabs>
        <w:jc w:val="both"/>
      </w:pPr>
    </w:p>
    <w:p w14:paraId="7412D23B" w14:textId="077AB414" w:rsidR="00AF3D6A" w:rsidRPr="00A3168A" w:rsidRDefault="00893C02" w:rsidP="00893C02">
      <w:pPr>
        <w:jc w:val="both"/>
      </w:pPr>
      <w:r w:rsidRPr="00A3168A">
        <w:tab/>
      </w:r>
      <w:r w:rsidR="00AF3D6A" w:rsidRPr="00A3168A">
        <w:t xml:space="preserve">Kancelária prezidenta v hodnotenom období </w:t>
      </w:r>
      <w:r w:rsidR="00A81ABE" w:rsidRPr="00A3168A">
        <w:t xml:space="preserve">prijala opatrenia na zabránenie </w:t>
      </w:r>
      <w:r w:rsidR="00285773" w:rsidRPr="00A3168A">
        <w:t>šíreni</w:t>
      </w:r>
      <w:r w:rsidR="004A3D69">
        <w:t>a</w:t>
      </w:r>
      <w:r w:rsidR="00285773" w:rsidRPr="00A3168A">
        <w:t xml:space="preserve"> koronavírusu COVID-19 </w:t>
      </w:r>
      <w:r w:rsidR="007C1351" w:rsidRPr="00A3168A">
        <w:t xml:space="preserve">a to hlavne </w:t>
      </w:r>
      <w:r w:rsidR="00A81ABE" w:rsidRPr="00A3168A">
        <w:t>nákupom osobných ochranných pomôcok ako sú rúška, respirátory, ochranné rukavice</w:t>
      </w:r>
      <w:r w:rsidR="00B23591" w:rsidRPr="00A3168A">
        <w:t>, ktoré boli poskytnuté</w:t>
      </w:r>
      <w:r w:rsidR="007C1351" w:rsidRPr="00A3168A">
        <w:t xml:space="preserve"> zamestnancom</w:t>
      </w:r>
      <w:r w:rsidR="00B23591" w:rsidRPr="00A3168A">
        <w:t xml:space="preserve"> </w:t>
      </w:r>
      <w:r w:rsidR="0087030A">
        <w:t xml:space="preserve">Kancelárie prezidenta </w:t>
      </w:r>
      <w:r w:rsidR="007B107B">
        <w:t xml:space="preserve">             </w:t>
      </w:r>
      <w:r w:rsidR="00B23591" w:rsidRPr="00A3168A">
        <w:t>či návštevám pri jednotlivých prijatiach</w:t>
      </w:r>
      <w:r w:rsidR="0087030A">
        <w:t xml:space="preserve"> u hlavy štátu. V rámci epidem</w:t>
      </w:r>
      <w:r w:rsidR="004A3D69">
        <w:t xml:space="preserve">iologických </w:t>
      </w:r>
      <w:r w:rsidR="0087030A">
        <w:t xml:space="preserve">opatrení </w:t>
      </w:r>
      <w:r w:rsidR="00B23591" w:rsidRPr="00A3168A">
        <w:t>Kancelária prezidenta</w:t>
      </w:r>
      <w:r w:rsidR="00F456C8" w:rsidRPr="00A3168A">
        <w:t xml:space="preserve"> zabezpečila dávkovače na dezinfekciu, ktoré sú dostupné pre zamestnancov </w:t>
      </w:r>
      <w:r w:rsidR="00F456C8" w:rsidRPr="00A3168A">
        <w:lastRenderedPageBreak/>
        <w:t>aj návštevy</w:t>
      </w:r>
      <w:r w:rsidR="0087030A">
        <w:t xml:space="preserve"> v objektoch kancelárie</w:t>
      </w:r>
      <w:r w:rsidR="008D267B">
        <w:t>, ďalej</w:t>
      </w:r>
      <w:r w:rsidR="0079136E">
        <w:t xml:space="preserve"> boli zabezpečené nákupy</w:t>
      </w:r>
      <w:r w:rsidR="00F456C8" w:rsidRPr="00A3168A">
        <w:t xml:space="preserve"> </w:t>
      </w:r>
      <w:r w:rsidR="0087030A">
        <w:t>prístroj</w:t>
      </w:r>
      <w:r w:rsidR="0079136E">
        <w:t>ov</w:t>
      </w:r>
      <w:r w:rsidR="00FB3C5D" w:rsidRPr="00A3168A">
        <w:t xml:space="preserve"> </w:t>
      </w:r>
      <w:r w:rsidR="00A81ABE" w:rsidRPr="00A3168A">
        <w:t>na monitorovanie telesnej teploty a indikovania nasa</w:t>
      </w:r>
      <w:r w:rsidRPr="00A3168A">
        <w:t xml:space="preserve">denej ochrany dýchacích ciest, </w:t>
      </w:r>
      <w:r w:rsidR="00A81ABE" w:rsidRPr="00A3168A">
        <w:t>dezinfekčných prostriedkov</w:t>
      </w:r>
      <w:r w:rsidRPr="00A3168A">
        <w:t xml:space="preserve"> a prístrojov na dezinfekciu ovzdušia</w:t>
      </w:r>
      <w:r w:rsidR="00A81ABE" w:rsidRPr="00A3168A">
        <w:t xml:space="preserve">. </w:t>
      </w:r>
    </w:p>
    <w:p w14:paraId="76199689" w14:textId="00F42398" w:rsidR="00893C02" w:rsidRPr="00A3168A" w:rsidRDefault="00893C02" w:rsidP="00893C02">
      <w:pPr>
        <w:jc w:val="both"/>
      </w:pPr>
      <w:r w:rsidRPr="00A3168A">
        <w:tab/>
      </w:r>
      <w:r w:rsidR="006A0BCA" w:rsidRPr="00A3168A">
        <w:t>V roku 2020 bolo so súhlasom Ministerstva financií vykonané rozpočtové opatrenie</w:t>
      </w:r>
      <w:r w:rsidR="009346D0" w:rsidRPr="00A3168A">
        <w:t xml:space="preserve"> </w:t>
      </w:r>
      <w:r w:rsidR="00A375C7" w:rsidRPr="00A3168A">
        <w:t xml:space="preserve">          </w:t>
      </w:r>
      <w:r w:rsidR="009346D0" w:rsidRPr="00A3168A">
        <w:t>(č. 9/2020)</w:t>
      </w:r>
      <w:r w:rsidR="006A0BCA" w:rsidRPr="00A3168A">
        <w:t>, kde boli vyčíslené negatívne vplyvy na výdavkovú časť rozpočtu kapitoly K</w:t>
      </w:r>
      <w:r w:rsidR="00A470B3" w:rsidRPr="00A3168A">
        <w:t xml:space="preserve">ancelárie prezidenta vo výške 26 066,00 eur. Tieto finančné prostriedky boli použité na zabezpečenie nákupu </w:t>
      </w:r>
      <w:r w:rsidR="00EE666D" w:rsidRPr="00A3168A">
        <w:t xml:space="preserve">dávkovačov na dezinfekciu, </w:t>
      </w:r>
      <w:r w:rsidR="00A470B3" w:rsidRPr="00A3168A">
        <w:t>dezinfekčných prostriedkov, rukavíc, ochranných rúšo</w:t>
      </w:r>
      <w:r w:rsidR="0037005D" w:rsidRPr="00A3168A">
        <w:t>k a respirátorov pre potreby zamestnancov,</w:t>
      </w:r>
      <w:r w:rsidR="00EE666D" w:rsidRPr="00A3168A">
        <w:t xml:space="preserve"> </w:t>
      </w:r>
      <w:r w:rsidR="00A470B3" w:rsidRPr="00A3168A">
        <w:t>prevádzkových</w:t>
      </w:r>
      <w:r w:rsidR="00EE666D" w:rsidRPr="00A3168A">
        <w:t xml:space="preserve"> </w:t>
      </w:r>
      <w:r w:rsidR="009A2B70" w:rsidRPr="00A3168A">
        <w:t xml:space="preserve">strojov </w:t>
      </w:r>
      <w:r w:rsidR="00EE666D" w:rsidRPr="00A3168A">
        <w:t>a špeciálnych</w:t>
      </w:r>
      <w:r w:rsidR="00A470B3" w:rsidRPr="00A3168A">
        <w:t xml:space="preserve"> strojov. </w:t>
      </w:r>
    </w:p>
    <w:p w14:paraId="7F7DBEC7" w14:textId="4E7FE233" w:rsidR="00304AA5" w:rsidRPr="00A3168A" w:rsidRDefault="00304AA5" w:rsidP="00FB40AC">
      <w:pPr>
        <w:tabs>
          <w:tab w:val="center" w:pos="4536"/>
        </w:tabs>
        <w:jc w:val="right"/>
        <w:rPr>
          <w:i/>
        </w:rPr>
      </w:pPr>
    </w:p>
    <w:p w14:paraId="5BEA1D24" w14:textId="24A8EC4B" w:rsidR="00E77E81" w:rsidRPr="00A3168A" w:rsidRDefault="00FB40AC" w:rsidP="00FB40AC">
      <w:pPr>
        <w:tabs>
          <w:tab w:val="center" w:pos="4536"/>
        </w:tabs>
        <w:jc w:val="right"/>
      </w:pPr>
      <w:r w:rsidRPr="00A3168A">
        <w:rPr>
          <w:i/>
        </w:rPr>
        <w:t>v eurách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561"/>
        <w:gridCol w:w="1619"/>
        <w:gridCol w:w="1835"/>
        <w:gridCol w:w="1925"/>
      </w:tblGrid>
      <w:tr w:rsidR="00FB3C5D" w:rsidRPr="00A3168A" w14:paraId="7035341B" w14:textId="77777777" w:rsidTr="00210A02">
        <w:trPr>
          <w:trHeight w:val="315"/>
        </w:trPr>
        <w:tc>
          <w:tcPr>
            <w:tcW w:w="128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C8D7" w14:textId="77777777" w:rsidR="00FB3C5D" w:rsidRPr="00A3168A" w:rsidRDefault="00FB3C5D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3168A">
              <w:rPr>
                <w:b/>
                <w:bCs/>
                <w:color w:val="000000"/>
              </w:rPr>
              <w:t>Ukazovateľ</w:t>
            </w:r>
          </w:p>
        </w:tc>
        <w:tc>
          <w:tcPr>
            <w:tcW w:w="170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BC268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Rozpočet 2020</w:t>
            </w:r>
          </w:p>
        </w:tc>
        <w:tc>
          <w:tcPr>
            <w:tcW w:w="98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1BF8" w14:textId="602907F5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Čerpanie</w:t>
            </w:r>
            <w:r w:rsidR="00EF3EA0">
              <w:rPr>
                <w:b/>
                <w:bCs/>
                <w:color w:val="000000"/>
              </w:rPr>
              <w:t xml:space="preserve">        </w:t>
            </w:r>
            <w:r w:rsidRPr="00A3168A">
              <w:rPr>
                <w:b/>
                <w:bCs/>
                <w:color w:val="000000"/>
              </w:rPr>
              <w:t xml:space="preserve"> na COVID-19</w:t>
            </w:r>
          </w:p>
        </w:tc>
        <w:tc>
          <w:tcPr>
            <w:tcW w:w="103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D3F39A" w14:textId="36A2CDE2" w:rsidR="00FB3C5D" w:rsidRPr="00A3168A" w:rsidRDefault="00FC5429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% plnenia </w:t>
            </w:r>
            <w:r w:rsidR="00C55A1D">
              <w:rPr>
                <w:b/>
                <w:bCs/>
                <w:color w:val="000000"/>
              </w:rPr>
              <w:t xml:space="preserve">         </w:t>
            </w:r>
            <w:r w:rsidR="00FB3C5D" w:rsidRPr="00A3168A">
              <w:rPr>
                <w:b/>
                <w:bCs/>
                <w:color w:val="000000"/>
              </w:rPr>
              <w:t>k upravenému rozpočtu</w:t>
            </w:r>
          </w:p>
        </w:tc>
      </w:tr>
      <w:tr w:rsidR="00FB3C5D" w:rsidRPr="00A3168A" w14:paraId="273B95DB" w14:textId="77777777" w:rsidTr="00210A02">
        <w:trPr>
          <w:trHeight w:val="315"/>
        </w:trPr>
        <w:tc>
          <w:tcPr>
            <w:tcW w:w="12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CF5DB" w14:textId="77777777" w:rsidR="00FB3C5D" w:rsidRPr="00A3168A" w:rsidRDefault="00FB3C5D">
            <w:pPr>
              <w:rPr>
                <w:b/>
                <w:bCs/>
                <w:color w:val="000000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AAC0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 xml:space="preserve">Schválený 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5992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Upravený</w:t>
            </w:r>
          </w:p>
        </w:tc>
        <w:tc>
          <w:tcPr>
            <w:tcW w:w="98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01D5E" w14:textId="77777777" w:rsidR="00FB3C5D" w:rsidRPr="00A3168A" w:rsidRDefault="00FB3C5D">
            <w:pPr>
              <w:rPr>
                <w:b/>
                <w:bCs/>
                <w:color w:val="000000"/>
              </w:rPr>
            </w:pPr>
          </w:p>
        </w:tc>
        <w:tc>
          <w:tcPr>
            <w:tcW w:w="103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2B36522" w14:textId="77777777" w:rsidR="00FB3C5D" w:rsidRPr="00A3168A" w:rsidRDefault="00FB3C5D">
            <w:pPr>
              <w:rPr>
                <w:b/>
                <w:bCs/>
                <w:color w:val="000000"/>
              </w:rPr>
            </w:pPr>
          </w:p>
        </w:tc>
      </w:tr>
      <w:tr w:rsidR="00FB3C5D" w:rsidRPr="00A3168A" w14:paraId="35452C8A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B77E" w14:textId="77777777" w:rsidR="00FB3C5D" w:rsidRPr="00A3168A" w:rsidRDefault="00FB3C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Bežné výdavky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3ACF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EF77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8106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D8007" w14:textId="77777777" w:rsidR="00FB3C5D" w:rsidRPr="00A3168A" w:rsidRDefault="00FB3C5D">
            <w:pPr>
              <w:jc w:val="center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 </w:t>
            </w:r>
          </w:p>
        </w:tc>
      </w:tr>
      <w:tr w:rsidR="00FB3C5D" w:rsidRPr="00A3168A" w14:paraId="1C377BD2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731D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630 Tovary a služby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01BB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42 000,00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2B2B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119 622,05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C7FE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21 924,61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B3E08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18,33</w:t>
            </w:r>
          </w:p>
        </w:tc>
      </w:tr>
      <w:tr w:rsidR="00FB3C5D" w:rsidRPr="00A3168A" w14:paraId="4375B16A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E2A3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z toho: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354B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7349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86DF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DA32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FB3C5D" w:rsidRPr="00A3168A" w14:paraId="6E02264F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1616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prevádzkové stroje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1705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7 000,00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EA2A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12 209,69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34CE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5 022,00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1C43C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41,13</w:t>
            </w:r>
          </w:p>
        </w:tc>
      </w:tr>
      <w:tr w:rsidR="00FB3C5D" w:rsidRPr="00A3168A" w14:paraId="5798C05B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8FEB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všeobecný materiál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27E0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35 000,00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9FBB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107 037,98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9D60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16 528,23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E60EA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15,44</w:t>
            </w:r>
          </w:p>
        </w:tc>
      </w:tr>
      <w:tr w:rsidR="00FB3C5D" w:rsidRPr="00A3168A" w14:paraId="5DF5F1AF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4A9D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špeciálny materiál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31D90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0,00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DD73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374,38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7133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374,38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88513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FB3C5D" w:rsidRPr="00A3168A" w14:paraId="25574A78" w14:textId="77777777" w:rsidTr="00210A02">
        <w:trPr>
          <w:trHeight w:val="315"/>
        </w:trPr>
        <w:tc>
          <w:tcPr>
            <w:tcW w:w="12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5A0DD" w14:textId="77777777" w:rsidR="00FB3C5D" w:rsidRPr="00A3168A" w:rsidRDefault="00FB3C5D">
            <w:pPr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Kapitálové výdavky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1367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3D72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0EF6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ED753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</w:tr>
      <w:tr w:rsidR="00FB3C5D" w:rsidRPr="00A3168A" w14:paraId="5D3E4206" w14:textId="77777777" w:rsidTr="00210A02">
        <w:trPr>
          <w:trHeight w:val="630"/>
        </w:trPr>
        <w:tc>
          <w:tcPr>
            <w:tcW w:w="1283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0A3BB" w14:textId="77777777" w:rsidR="00FB3C5D" w:rsidRPr="00A3168A" w:rsidRDefault="00FB3C5D">
            <w:pPr>
              <w:rPr>
                <w:color w:val="000000"/>
              </w:rPr>
            </w:pPr>
            <w:r w:rsidRPr="00A3168A">
              <w:rPr>
                <w:color w:val="000000"/>
              </w:rPr>
              <w:t>špeciálnych strojov, prístrojov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F101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 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BCC8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6 876,00</w:t>
            </w:r>
          </w:p>
        </w:tc>
        <w:tc>
          <w:tcPr>
            <w:tcW w:w="9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2398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6 876,00</w:t>
            </w:r>
          </w:p>
        </w:tc>
        <w:tc>
          <w:tcPr>
            <w:tcW w:w="10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03717" w14:textId="77777777" w:rsidR="00FB3C5D" w:rsidRPr="00A3168A" w:rsidRDefault="00FB3C5D">
            <w:pPr>
              <w:jc w:val="right"/>
              <w:rPr>
                <w:color w:val="000000"/>
              </w:rPr>
            </w:pPr>
            <w:r w:rsidRPr="00A3168A">
              <w:rPr>
                <w:color w:val="000000"/>
              </w:rPr>
              <w:t>100,00</w:t>
            </w:r>
          </w:p>
        </w:tc>
      </w:tr>
      <w:tr w:rsidR="00FB3C5D" w:rsidRPr="00A3168A" w14:paraId="09289137" w14:textId="77777777" w:rsidTr="00210A02">
        <w:trPr>
          <w:trHeight w:val="330"/>
        </w:trPr>
        <w:tc>
          <w:tcPr>
            <w:tcW w:w="12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C3C3" w14:textId="3E878DF5" w:rsidR="00FB3C5D" w:rsidRPr="00A3168A" w:rsidRDefault="00EF3EA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</w:t>
            </w:r>
            <w:r w:rsidR="00FB3C5D" w:rsidRPr="00A3168A">
              <w:rPr>
                <w:b/>
                <w:bCs/>
                <w:color w:val="000000"/>
              </w:rPr>
              <w:t>polu: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D2AD" w14:textId="77777777" w:rsidR="00FB3C5D" w:rsidRPr="00A3168A" w:rsidRDefault="00FB3C5D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42 000,00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1195" w14:textId="77777777" w:rsidR="00FB3C5D" w:rsidRPr="00A3168A" w:rsidRDefault="00FB3C5D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126 498,05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800F" w14:textId="77777777" w:rsidR="00FB3C5D" w:rsidRPr="00A3168A" w:rsidRDefault="00FB3C5D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28 800,61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88DE5" w14:textId="77777777" w:rsidR="00FB3C5D" w:rsidRPr="00A3168A" w:rsidRDefault="00FB3C5D">
            <w:pPr>
              <w:jc w:val="right"/>
              <w:rPr>
                <w:b/>
                <w:bCs/>
                <w:color w:val="000000"/>
              </w:rPr>
            </w:pPr>
            <w:r w:rsidRPr="00A3168A">
              <w:rPr>
                <w:b/>
                <w:bCs/>
                <w:color w:val="000000"/>
              </w:rPr>
              <w:t>22,77</w:t>
            </w:r>
          </w:p>
        </w:tc>
      </w:tr>
    </w:tbl>
    <w:p w14:paraId="120B78FA" w14:textId="119A5D4E" w:rsidR="00AF3D6A" w:rsidRPr="004A042D" w:rsidRDefault="00AF3D6A" w:rsidP="004A042D">
      <w:pPr>
        <w:tabs>
          <w:tab w:val="left" w:pos="8280"/>
        </w:tabs>
        <w:rPr>
          <w:i/>
        </w:rPr>
      </w:pPr>
    </w:p>
    <w:p w14:paraId="0671499A" w14:textId="660BFDC3" w:rsidR="00CE52A9" w:rsidRPr="00A3168A" w:rsidRDefault="00776011" w:rsidP="00A375C7">
      <w:pPr>
        <w:pStyle w:val="Nadpis3"/>
        <w:numPr>
          <w:ilvl w:val="2"/>
          <w:numId w:val="29"/>
        </w:numPr>
        <w:rPr>
          <w:rFonts w:ascii="Times New Roman" w:hAnsi="Times New Roman" w:cs="Times New Roman"/>
        </w:rPr>
      </w:pPr>
      <w:r w:rsidRPr="00A3168A">
        <w:rPr>
          <w:rFonts w:ascii="Times New Roman" w:hAnsi="Times New Roman" w:cs="Times New Roman"/>
        </w:rPr>
        <w:t xml:space="preserve"> </w:t>
      </w:r>
      <w:bookmarkStart w:id="40" w:name="_Toc71783133"/>
      <w:r w:rsidR="00CE52A9" w:rsidRPr="00A3168A">
        <w:rPr>
          <w:rFonts w:ascii="Times New Roman" w:hAnsi="Times New Roman" w:cs="Times New Roman"/>
        </w:rPr>
        <w:t>Finančné operácie</w:t>
      </w:r>
      <w:bookmarkEnd w:id="40"/>
    </w:p>
    <w:p w14:paraId="5C126DAE" w14:textId="027263DC" w:rsidR="009D7B0D" w:rsidRPr="00A3168A" w:rsidRDefault="009D7B0D" w:rsidP="009D7B0D">
      <w:pPr>
        <w:pStyle w:val="Odsekzoznamu"/>
        <w:tabs>
          <w:tab w:val="center" w:pos="4536"/>
        </w:tabs>
        <w:jc w:val="both"/>
      </w:pPr>
    </w:p>
    <w:p w14:paraId="3D94C5C0" w14:textId="5E241EC1" w:rsidR="009D7B0D" w:rsidRPr="00A3168A" w:rsidRDefault="00390097" w:rsidP="009A2B70">
      <w:pPr>
        <w:pStyle w:val="Odsekzoznamu"/>
        <w:ind w:left="0" w:firstLine="567"/>
        <w:jc w:val="both"/>
      </w:pPr>
      <w:r>
        <w:t xml:space="preserve">   </w:t>
      </w:r>
      <w:r w:rsidR="009D7B0D" w:rsidRPr="00A3168A">
        <w:t>Kancelária prezidenta nemala žiadne finančné operácie, ktoré by súviseli prijatými opatreniami na zmiernenie negatívnych vplyvov nového ochorenia koronavírusu COVID-19.</w:t>
      </w:r>
    </w:p>
    <w:p w14:paraId="796D91C3" w14:textId="77777777" w:rsidR="009D7B0D" w:rsidRPr="00A3168A" w:rsidRDefault="009D7B0D" w:rsidP="009D7B0D">
      <w:pPr>
        <w:pStyle w:val="Odsekzoznamu"/>
        <w:tabs>
          <w:tab w:val="center" w:pos="4536"/>
        </w:tabs>
        <w:jc w:val="both"/>
      </w:pPr>
    </w:p>
    <w:p w14:paraId="03760BD0" w14:textId="553B955E" w:rsidR="004F302C" w:rsidRPr="00986F31" w:rsidRDefault="004F302C" w:rsidP="00A375C7">
      <w:pPr>
        <w:pStyle w:val="Nadpis2"/>
        <w:numPr>
          <w:ilvl w:val="1"/>
          <w:numId w:val="29"/>
        </w:numPr>
        <w:rPr>
          <w:rFonts w:ascii="Times New Roman" w:hAnsi="Times New Roman" w:cs="Times New Roman"/>
          <w:b/>
        </w:rPr>
      </w:pPr>
      <w:bookmarkStart w:id="41" w:name="_Toc71783134"/>
      <w:r w:rsidRPr="00986F31">
        <w:rPr>
          <w:rFonts w:ascii="Times New Roman" w:hAnsi="Times New Roman" w:cs="Times New Roman"/>
          <w:b/>
        </w:rPr>
        <w:t>Zhodnotenie zamestnanosti</w:t>
      </w:r>
      <w:bookmarkEnd w:id="41"/>
    </w:p>
    <w:p w14:paraId="62AFD678" w14:textId="77777777" w:rsidR="004F302C" w:rsidRPr="00A3168A" w:rsidRDefault="004F302C" w:rsidP="004F302C">
      <w:pPr>
        <w:jc w:val="both"/>
      </w:pPr>
    </w:p>
    <w:p w14:paraId="5636BD51" w14:textId="613A4E91" w:rsidR="00ED7F04" w:rsidRPr="00A3168A" w:rsidRDefault="00CE26C5" w:rsidP="00F55C46">
      <w:pPr>
        <w:ind w:firstLine="567"/>
        <w:jc w:val="both"/>
      </w:pPr>
      <w:r w:rsidRPr="00A3168A">
        <w:t>Limit zamestnancov mala Kancelária prezidenta</w:t>
      </w:r>
      <w:r w:rsidR="00A33396" w:rsidRPr="00A3168A">
        <w:t xml:space="preserve"> v roku 2020</w:t>
      </w:r>
      <w:r w:rsidR="004F302C" w:rsidRPr="00A3168A">
        <w:t xml:space="preserve"> </w:t>
      </w:r>
      <w:r w:rsidRPr="00A3168A">
        <w:t>stanovený</w:t>
      </w:r>
      <w:r w:rsidR="004F302C" w:rsidRPr="00A3168A">
        <w:t xml:space="preserve"> </w:t>
      </w:r>
      <w:r w:rsidRPr="00A3168A">
        <w:t xml:space="preserve">na základe uznesenia vlády SR č. </w:t>
      </w:r>
      <w:r w:rsidR="008B338F" w:rsidRPr="00A3168A">
        <w:t xml:space="preserve">500 zo 14. októbra 2019 </w:t>
      </w:r>
      <w:r w:rsidRPr="00A3168A">
        <w:t xml:space="preserve">na </w:t>
      </w:r>
      <w:r w:rsidR="004F302C" w:rsidRPr="00A3168A">
        <w:t xml:space="preserve">101 </w:t>
      </w:r>
      <w:r w:rsidRPr="00A3168A">
        <w:t xml:space="preserve">osôb </w:t>
      </w:r>
      <w:r w:rsidR="004F302C" w:rsidRPr="00A3168A">
        <w:t xml:space="preserve">vrátane ústavného činiteľa. </w:t>
      </w:r>
      <w:r w:rsidR="003B6DFD" w:rsidRPr="00A3168A">
        <w:t>P</w:t>
      </w:r>
      <w:r w:rsidR="004F302C" w:rsidRPr="00A3168A">
        <w:t xml:space="preserve">očet zamestnancov </w:t>
      </w:r>
      <w:r w:rsidR="003B6DFD" w:rsidRPr="00A3168A">
        <w:t>k 1.1.</w:t>
      </w:r>
      <w:r w:rsidR="00A33396" w:rsidRPr="00A3168A">
        <w:t>2020</w:t>
      </w:r>
      <w:r w:rsidR="004F302C" w:rsidRPr="00A3168A">
        <w:t xml:space="preserve"> dosiahol </w:t>
      </w:r>
      <w:r w:rsidR="003B6DFD" w:rsidRPr="00A3168A">
        <w:t xml:space="preserve">počet </w:t>
      </w:r>
      <w:r w:rsidR="00A33396" w:rsidRPr="00A3168A">
        <w:t>84</w:t>
      </w:r>
      <w:r w:rsidR="004F302C" w:rsidRPr="00A3168A">
        <w:t xml:space="preserve"> osôb</w:t>
      </w:r>
      <w:r w:rsidR="00986196" w:rsidRPr="00A3168A">
        <w:t xml:space="preserve"> vrátane </w:t>
      </w:r>
      <w:r w:rsidR="00921D40" w:rsidRPr="00A3168A">
        <w:t>ústavného činiteľa</w:t>
      </w:r>
      <w:r w:rsidR="00F55C46" w:rsidRPr="00A3168A">
        <w:t>, z toho 1 ústavný činiteľ, 67 štátnych zamestnancov a 16 zamestnancov vykonávajúcich práce vo verejnom záujme</w:t>
      </w:r>
      <w:r w:rsidR="004F302C" w:rsidRPr="00A3168A">
        <w:t xml:space="preserve">. </w:t>
      </w:r>
      <w:r w:rsidR="00A05FA7" w:rsidRPr="00A3168A">
        <w:t>P</w:t>
      </w:r>
      <w:r w:rsidR="00F55C46" w:rsidRPr="00A3168A">
        <w:t>očet zamestnancov k 31.12.2020</w:t>
      </w:r>
      <w:r w:rsidR="004F19D2" w:rsidRPr="00A3168A">
        <w:t xml:space="preserve"> bol </w:t>
      </w:r>
      <w:r w:rsidR="00A33396" w:rsidRPr="00A3168A">
        <w:t>90</w:t>
      </w:r>
      <w:r w:rsidR="004F19D2" w:rsidRPr="00A3168A">
        <w:t xml:space="preserve">, z toho 1 ústavný činiteľ, </w:t>
      </w:r>
      <w:r w:rsidR="00A33396" w:rsidRPr="00A3168A">
        <w:t>73</w:t>
      </w:r>
      <w:r w:rsidR="004F19D2" w:rsidRPr="00A3168A">
        <w:t xml:space="preserve"> štátnych zamestnancov </w:t>
      </w:r>
      <w:r w:rsidR="009410F1" w:rsidRPr="00A3168A">
        <w:t xml:space="preserve">    </w:t>
      </w:r>
      <w:r w:rsidR="004F19D2" w:rsidRPr="00A3168A">
        <w:t>a </w:t>
      </w:r>
      <w:r w:rsidR="00295E63" w:rsidRPr="00A3168A">
        <w:t>1</w:t>
      </w:r>
      <w:r w:rsidR="00A05FA7" w:rsidRPr="00A3168A">
        <w:t>6</w:t>
      </w:r>
      <w:r w:rsidR="004F19D2" w:rsidRPr="00A3168A">
        <w:t xml:space="preserve"> zamestnancov</w:t>
      </w:r>
      <w:r w:rsidR="00EA4D30" w:rsidRPr="00A3168A">
        <w:t xml:space="preserve"> vykonávajúcich práce vo verejnom záujme.</w:t>
      </w:r>
      <w:r w:rsidR="004F302C" w:rsidRPr="00A3168A">
        <w:t xml:space="preserve"> </w:t>
      </w:r>
    </w:p>
    <w:p w14:paraId="0FB4C6DC" w14:textId="77777777" w:rsidR="00F55C46" w:rsidRPr="00A3168A" w:rsidRDefault="00F55C46" w:rsidP="00F55C46">
      <w:pPr>
        <w:ind w:firstLine="567"/>
        <w:jc w:val="both"/>
      </w:pPr>
    </w:p>
    <w:p w14:paraId="0D09A299" w14:textId="1B220DE6" w:rsidR="004F302C" w:rsidRPr="00A3168A" w:rsidRDefault="0044711A" w:rsidP="004F302C">
      <w:pPr>
        <w:jc w:val="both"/>
      </w:pPr>
      <w:r w:rsidRPr="00A3168A">
        <w:t>Počas</w:t>
      </w:r>
      <w:r w:rsidR="004F302C" w:rsidRPr="00A3168A">
        <w:t xml:space="preserve"> roka </w:t>
      </w:r>
      <w:r w:rsidR="00A33396" w:rsidRPr="00A3168A">
        <w:t>2020</w:t>
      </w:r>
      <w:r w:rsidR="004F302C" w:rsidRPr="00A3168A">
        <w:t xml:space="preserve"> došlo k nasledovným pohybom v stave zamestnancov:</w:t>
      </w:r>
    </w:p>
    <w:p w14:paraId="45AF8DB7" w14:textId="77777777" w:rsidR="00D077F5" w:rsidRPr="00A3168A" w:rsidRDefault="00D077F5" w:rsidP="00C7565B">
      <w:pPr>
        <w:jc w:val="both"/>
      </w:pPr>
    </w:p>
    <w:p w14:paraId="7ADC7FEA" w14:textId="08FCCB18" w:rsidR="004F302C" w:rsidRPr="00A3168A" w:rsidRDefault="004F302C" w:rsidP="00C7565B">
      <w:pPr>
        <w:jc w:val="both"/>
      </w:pPr>
      <w:r w:rsidRPr="00A3168A">
        <w:t xml:space="preserve">- </w:t>
      </w:r>
      <w:r w:rsidRPr="00A3168A">
        <w:rPr>
          <w:u w:val="single"/>
        </w:rPr>
        <w:t>zvýšenie</w:t>
      </w:r>
      <w:r w:rsidRPr="00A3168A">
        <w:t xml:space="preserve"> počtu zamestnancov </w:t>
      </w:r>
      <w:r w:rsidR="00D651BF" w:rsidRPr="00A3168A">
        <w:t xml:space="preserve">                                                         </w:t>
      </w:r>
      <w:r w:rsidR="00A33396" w:rsidRPr="00A3168A">
        <w:rPr>
          <w:u w:val="single"/>
        </w:rPr>
        <w:t>spolu 20</w:t>
      </w:r>
      <w:r w:rsidR="00D651BF" w:rsidRPr="00A3168A">
        <w:rPr>
          <w:u w:val="single"/>
        </w:rPr>
        <w:t xml:space="preserve"> osôb</w:t>
      </w:r>
    </w:p>
    <w:p w14:paraId="78243D6C" w14:textId="77777777" w:rsidR="00CE26C5" w:rsidRPr="00A3168A" w:rsidRDefault="00CE26C5" w:rsidP="00C7565B">
      <w:pPr>
        <w:jc w:val="both"/>
      </w:pPr>
    </w:p>
    <w:p w14:paraId="21555D89" w14:textId="77777777" w:rsidR="00D651BF" w:rsidRPr="00A3168A" w:rsidRDefault="00D651BF" w:rsidP="00C7565B">
      <w:pPr>
        <w:jc w:val="both"/>
      </w:pPr>
      <w:r w:rsidRPr="00A3168A">
        <w:t>z toho:</w:t>
      </w:r>
    </w:p>
    <w:p w14:paraId="62F209A3" w14:textId="3AA14F49" w:rsidR="004F302C" w:rsidRPr="00A3168A" w:rsidRDefault="004F302C" w:rsidP="00EE666D">
      <w:pPr>
        <w:pStyle w:val="Odsekzoznamu"/>
        <w:numPr>
          <w:ilvl w:val="0"/>
          <w:numId w:val="15"/>
        </w:numPr>
        <w:tabs>
          <w:tab w:val="left" w:pos="7230"/>
        </w:tabs>
        <w:ind w:left="426" w:hanging="284"/>
        <w:jc w:val="both"/>
      </w:pPr>
      <w:r w:rsidRPr="00A3168A">
        <w:t>vzniko</w:t>
      </w:r>
      <w:r w:rsidR="00D651BF" w:rsidRPr="00A3168A">
        <w:t xml:space="preserve">m štátnozamestnaneckého pomeru alebo </w:t>
      </w:r>
      <w:r w:rsidR="00FB3C5D" w:rsidRPr="00A3168A">
        <w:t>pracovného pomeru</w:t>
      </w:r>
      <w:r w:rsidR="00FB3C5D" w:rsidRPr="00A3168A">
        <w:tab/>
      </w:r>
      <w:r w:rsidR="00A15907" w:rsidRPr="00A3168A">
        <w:tab/>
      </w:r>
      <w:r w:rsidR="00A33396" w:rsidRPr="00A3168A">
        <w:t>10</w:t>
      </w:r>
      <w:r w:rsidR="00D651BF" w:rsidRPr="00A3168A">
        <w:t xml:space="preserve"> osôb</w:t>
      </w:r>
      <w:r w:rsidRPr="00A3168A">
        <w:tab/>
      </w:r>
    </w:p>
    <w:p w14:paraId="7A68AD3E" w14:textId="24F6CE8B" w:rsidR="00D651BF" w:rsidRPr="00A3168A" w:rsidRDefault="004F302C" w:rsidP="00FB3C5D">
      <w:pPr>
        <w:pStyle w:val="Odsekzoznamu"/>
        <w:numPr>
          <w:ilvl w:val="0"/>
          <w:numId w:val="15"/>
        </w:numPr>
        <w:ind w:left="426" w:hanging="284"/>
        <w:jc w:val="both"/>
      </w:pPr>
      <w:r w:rsidRPr="00A3168A">
        <w:t>trvalým</w:t>
      </w:r>
      <w:r w:rsidR="00D651BF" w:rsidRPr="00A3168A">
        <w:t xml:space="preserve"> alebo dočasným</w:t>
      </w:r>
      <w:r w:rsidR="00FB3C5D" w:rsidRPr="00A3168A">
        <w:t xml:space="preserve"> preložením</w:t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  <w:t xml:space="preserve">  </w:t>
      </w:r>
      <w:r w:rsidR="00A15907" w:rsidRPr="00A3168A">
        <w:tab/>
      </w:r>
      <w:r w:rsidR="00A05FA7" w:rsidRPr="00A3168A">
        <w:t>3</w:t>
      </w:r>
      <w:r w:rsidR="00D651BF" w:rsidRPr="00A3168A">
        <w:t xml:space="preserve"> </w:t>
      </w:r>
      <w:r w:rsidR="00DE5B11" w:rsidRPr="00A3168A">
        <w:t>os</w:t>
      </w:r>
      <w:r w:rsidR="00A05FA7" w:rsidRPr="00A3168A">
        <w:t>oby</w:t>
      </w:r>
    </w:p>
    <w:p w14:paraId="1CCB2D78" w14:textId="520FCEC9" w:rsidR="00DE5B11" w:rsidRPr="00A3168A" w:rsidRDefault="00DE5B11" w:rsidP="00D651BF">
      <w:pPr>
        <w:pStyle w:val="Odsekzoznamu"/>
        <w:numPr>
          <w:ilvl w:val="0"/>
          <w:numId w:val="15"/>
        </w:numPr>
        <w:ind w:left="426" w:hanging="284"/>
        <w:jc w:val="both"/>
      </w:pPr>
      <w:r w:rsidRPr="00A3168A">
        <w:t>návrat z materskej dovolenk</w:t>
      </w:r>
      <w:r w:rsidR="00FB3C5D" w:rsidRPr="00A3168A">
        <w:t>y</w:t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  <w:t xml:space="preserve"> </w:t>
      </w:r>
      <w:r w:rsidR="00A15907" w:rsidRPr="00A3168A">
        <w:tab/>
      </w:r>
      <w:r w:rsidR="00A33396" w:rsidRPr="00A3168A">
        <w:t>2</w:t>
      </w:r>
      <w:r w:rsidRPr="00A3168A">
        <w:t xml:space="preserve"> osob</w:t>
      </w:r>
      <w:r w:rsidR="00A33396" w:rsidRPr="00A3168A">
        <w:t>y</w:t>
      </w:r>
    </w:p>
    <w:p w14:paraId="20E509EF" w14:textId="3EF1D9EB" w:rsidR="00A33396" w:rsidRPr="00A3168A" w:rsidRDefault="00A33396" w:rsidP="00D651BF">
      <w:pPr>
        <w:pStyle w:val="Odsekzoznamu"/>
        <w:numPr>
          <w:ilvl w:val="0"/>
          <w:numId w:val="15"/>
        </w:numPr>
        <w:ind w:left="426" w:hanging="284"/>
        <w:jc w:val="both"/>
      </w:pPr>
      <w:r w:rsidRPr="00A3168A">
        <w:t>návrat z</w:t>
      </w:r>
      <w:r w:rsidR="00FB3C5D" w:rsidRPr="00A3168A">
        <w:t> rodičovskej dovolenky</w:t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</w:r>
      <w:r w:rsidR="00FB3C5D" w:rsidRPr="00A3168A">
        <w:tab/>
        <w:t xml:space="preserve">   </w:t>
      </w:r>
      <w:r w:rsidR="00A15907" w:rsidRPr="00A3168A">
        <w:tab/>
      </w:r>
      <w:r w:rsidRPr="00A3168A">
        <w:t>4 osoby</w:t>
      </w:r>
    </w:p>
    <w:p w14:paraId="343E9192" w14:textId="5E490A63" w:rsidR="0093593C" w:rsidRPr="00A3168A" w:rsidRDefault="00A33396" w:rsidP="004912A3">
      <w:pPr>
        <w:pStyle w:val="Odsekzoznamu"/>
        <w:numPr>
          <w:ilvl w:val="0"/>
          <w:numId w:val="15"/>
        </w:numPr>
        <w:ind w:left="426" w:hanging="284"/>
        <w:jc w:val="both"/>
      </w:pPr>
      <w:r w:rsidRPr="00A3168A">
        <w:t>ná</w:t>
      </w:r>
      <w:r w:rsidR="00210A02" w:rsidRPr="00A3168A">
        <w:t>vrat z výkonu funkcie</w:t>
      </w:r>
      <w:r w:rsidR="00210A02" w:rsidRPr="00A3168A">
        <w:tab/>
      </w:r>
      <w:r w:rsidR="00210A02" w:rsidRPr="00A3168A">
        <w:tab/>
      </w:r>
      <w:r w:rsidR="00210A02" w:rsidRPr="00A3168A">
        <w:tab/>
      </w:r>
      <w:r w:rsidR="00210A02" w:rsidRPr="00A3168A">
        <w:tab/>
      </w:r>
      <w:r w:rsidR="00210A02" w:rsidRPr="00A3168A">
        <w:tab/>
      </w:r>
      <w:r w:rsidR="00210A02" w:rsidRPr="00A3168A">
        <w:tab/>
      </w:r>
      <w:r w:rsidR="00210A02" w:rsidRPr="00A3168A">
        <w:tab/>
        <w:t xml:space="preserve">   </w:t>
      </w:r>
      <w:r w:rsidR="00A15907" w:rsidRPr="00A3168A">
        <w:tab/>
      </w:r>
      <w:r w:rsidRPr="00A3168A">
        <w:t>1 osoba</w:t>
      </w:r>
    </w:p>
    <w:p w14:paraId="5F63627B" w14:textId="6352923F" w:rsidR="004F302C" w:rsidRPr="00A3168A" w:rsidRDefault="004F302C" w:rsidP="00FB19E5">
      <w:pPr>
        <w:tabs>
          <w:tab w:val="left" w:pos="0"/>
          <w:tab w:val="left" w:pos="6521"/>
        </w:tabs>
        <w:jc w:val="both"/>
      </w:pPr>
      <w:r w:rsidRPr="00A3168A">
        <w:lastRenderedPageBreak/>
        <w:t xml:space="preserve">- </w:t>
      </w:r>
      <w:r w:rsidRPr="00A3168A">
        <w:rPr>
          <w:u w:val="single"/>
        </w:rPr>
        <w:t xml:space="preserve">zníženie </w:t>
      </w:r>
      <w:r w:rsidRPr="00A3168A">
        <w:t>počtu zamestnancov</w:t>
      </w:r>
      <w:r w:rsidR="00FB19E5" w:rsidRPr="00A3168A">
        <w:t xml:space="preserve">                                                           </w:t>
      </w:r>
      <w:r w:rsidR="00FB19E5" w:rsidRPr="00A3168A">
        <w:rPr>
          <w:u w:val="single"/>
        </w:rPr>
        <w:t>spolu 1</w:t>
      </w:r>
      <w:r w:rsidR="00292075" w:rsidRPr="00A3168A">
        <w:rPr>
          <w:u w:val="single"/>
        </w:rPr>
        <w:t>4</w:t>
      </w:r>
      <w:r w:rsidR="00FB19E5" w:rsidRPr="00A3168A">
        <w:rPr>
          <w:u w:val="single"/>
        </w:rPr>
        <w:t xml:space="preserve"> osôb</w:t>
      </w:r>
    </w:p>
    <w:p w14:paraId="02C5FDBA" w14:textId="77777777" w:rsidR="00CE26C5" w:rsidRPr="00A3168A" w:rsidRDefault="00CE26C5" w:rsidP="00C7565B">
      <w:pPr>
        <w:tabs>
          <w:tab w:val="left" w:pos="0"/>
        </w:tabs>
        <w:jc w:val="both"/>
      </w:pPr>
    </w:p>
    <w:p w14:paraId="00A37169" w14:textId="77777777" w:rsidR="004912A3" w:rsidRPr="00A3168A" w:rsidRDefault="004912A3" w:rsidP="00C7565B">
      <w:pPr>
        <w:tabs>
          <w:tab w:val="left" w:pos="0"/>
        </w:tabs>
        <w:jc w:val="both"/>
      </w:pPr>
      <w:r w:rsidRPr="00A3168A">
        <w:t>z toho:</w:t>
      </w:r>
    </w:p>
    <w:p w14:paraId="19427C67" w14:textId="0A445F76" w:rsidR="004F302C" w:rsidRPr="00A3168A" w:rsidRDefault="007727E8" w:rsidP="00A15907">
      <w:pPr>
        <w:pStyle w:val="Odsekzoznamu"/>
        <w:numPr>
          <w:ilvl w:val="0"/>
          <w:numId w:val="16"/>
        </w:numPr>
        <w:tabs>
          <w:tab w:val="left" w:pos="7797"/>
        </w:tabs>
        <w:ind w:left="426" w:hanging="284"/>
        <w:jc w:val="both"/>
      </w:pPr>
      <w:r w:rsidRPr="00A3168A">
        <w:t>zánik</w:t>
      </w:r>
      <w:r w:rsidR="004F302C" w:rsidRPr="00A3168A">
        <w:t xml:space="preserve"> štátnozamestnaneckého</w:t>
      </w:r>
      <w:r w:rsidR="004912A3" w:rsidRPr="00A3168A">
        <w:t xml:space="preserve"> alebo</w:t>
      </w:r>
      <w:r w:rsidR="004F302C" w:rsidRPr="00A3168A">
        <w:t xml:space="preserve"> pracovného pomeru</w:t>
      </w:r>
      <w:r w:rsidR="00A15907" w:rsidRPr="00A3168A">
        <w:tab/>
      </w:r>
      <w:r w:rsidR="00292075" w:rsidRPr="00A3168A">
        <w:t>4  osoby</w:t>
      </w:r>
    </w:p>
    <w:p w14:paraId="26AB28D2" w14:textId="1CA416A4" w:rsidR="004912A3" w:rsidRPr="00A3168A" w:rsidRDefault="004F302C" w:rsidP="0094398E">
      <w:pPr>
        <w:pStyle w:val="Odsekzoznamu"/>
        <w:numPr>
          <w:ilvl w:val="0"/>
          <w:numId w:val="16"/>
        </w:numPr>
        <w:tabs>
          <w:tab w:val="left" w:pos="0"/>
          <w:tab w:val="left" w:pos="7371"/>
        </w:tabs>
        <w:ind w:left="426" w:hanging="284"/>
        <w:jc w:val="both"/>
      </w:pPr>
      <w:r w:rsidRPr="00A3168A">
        <w:t>trvalým</w:t>
      </w:r>
      <w:r w:rsidR="004912A3" w:rsidRPr="00A3168A">
        <w:t xml:space="preserve"> alebo dočasným</w:t>
      </w:r>
      <w:r w:rsidRPr="00A3168A">
        <w:t xml:space="preserve"> preložením</w:t>
      </w:r>
      <w:r w:rsidR="0094398E" w:rsidRPr="00A3168A">
        <w:tab/>
      </w:r>
      <w:r w:rsidR="0093013D" w:rsidRPr="00A3168A">
        <w:t xml:space="preserve"> </w:t>
      </w:r>
      <w:r w:rsidR="00A15907" w:rsidRPr="00A3168A">
        <w:tab/>
      </w:r>
      <w:r w:rsidR="00292075" w:rsidRPr="00A3168A">
        <w:t>3 osoby</w:t>
      </w:r>
    </w:p>
    <w:p w14:paraId="0F49C9DA" w14:textId="2C3393D6" w:rsidR="00D86A67" w:rsidRPr="00A3168A" w:rsidRDefault="007727E8" w:rsidP="004912A3">
      <w:pPr>
        <w:pStyle w:val="Odsekzoznamu"/>
        <w:numPr>
          <w:ilvl w:val="0"/>
          <w:numId w:val="16"/>
        </w:numPr>
        <w:tabs>
          <w:tab w:val="left" w:pos="0"/>
        </w:tabs>
        <w:ind w:left="426" w:right="-569" w:hanging="284"/>
        <w:jc w:val="both"/>
      </w:pPr>
      <w:r w:rsidRPr="00A3168A">
        <w:t>odchodom na materskú</w:t>
      </w:r>
      <w:r w:rsidR="0094398E" w:rsidRPr="00A3168A">
        <w:t xml:space="preserve"> dovolenku</w:t>
      </w:r>
      <w:r w:rsidR="0094398E" w:rsidRPr="00A3168A">
        <w:tab/>
      </w:r>
      <w:r w:rsidR="0094398E" w:rsidRPr="00A3168A">
        <w:tab/>
      </w:r>
      <w:r w:rsidR="0094398E" w:rsidRPr="00A3168A">
        <w:tab/>
      </w:r>
      <w:r w:rsidR="0094398E" w:rsidRPr="00A3168A">
        <w:tab/>
      </w:r>
      <w:r w:rsidR="0094398E" w:rsidRPr="00A3168A">
        <w:tab/>
        <w:t xml:space="preserve">     </w:t>
      </w:r>
      <w:r w:rsidR="00A15907" w:rsidRPr="00A3168A">
        <w:tab/>
      </w:r>
      <w:r w:rsidR="00292075" w:rsidRPr="00A3168A">
        <w:t>4</w:t>
      </w:r>
      <w:r w:rsidR="004912A3" w:rsidRPr="00A3168A">
        <w:t xml:space="preserve"> osob</w:t>
      </w:r>
      <w:r w:rsidR="00292075" w:rsidRPr="00A3168A">
        <w:t>y</w:t>
      </w:r>
    </w:p>
    <w:p w14:paraId="6C3BF2FA" w14:textId="0EAB2B82" w:rsidR="00292075" w:rsidRPr="00A3168A" w:rsidRDefault="00292075" w:rsidP="004912A3">
      <w:pPr>
        <w:pStyle w:val="Odsekzoznamu"/>
        <w:numPr>
          <w:ilvl w:val="0"/>
          <w:numId w:val="16"/>
        </w:numPr>
        <w:tabs>
          <w:tab w:val="left" w:pos="0"/>
        </w:tabs>
        <w:ind w:left="426" w:right="-569" w:hanging="284"/>
        <w:jc w:val="both"/>
      </w:pPr>
      <w:r w:rsidRPr="00A3168A">
        <w:t>odchodom na rodičovskú dovolenku</w:t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  <w:t xml:space="preserve">     </w:t>
      </w:r>
      <w:r w:rsidR="00A15907" w:rsidRPr="00A3168A">
        <w:tab/>
      </w:r>
      <w:r w:rsidRPr="00A3168A">
        <w:t>2 osoby</w:t>
      </w:r>
    </w:p>
    <w:p w14:paraId="275D3332" w14:textId="2C5B1792" w:rsidR="00292075" w:rsidRDefault="00292075" w:rsidP="004912A3">
      <w:pPr>
        <w:pStyle w:val="Odsekzoznamu"/>
        <w:numPr>
          <w:ilvl w:val="0"/>
          <w:numId w:val="16"/>
        </w:numPr>
        <w:tabs>
          <w:tab w:val="left" w:pos="0"/>
        </w:tabs>
        <w:ind w:left="426" w:right="-569" w:hanging="284"/>
        <w:jc w:val="both"/>
      </w:pPr>
      <w:r w:rsidRPr="00A3168A">
        <w:t>nasledovanie manžela</w:t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  <w:t xml:space="preserve">     </w:t>
      </w:r>
      <w:r w:rsidR="00A15907" w:rsidRPr="00A3168A">
        <w:tab/>
      </w:r>
      <w:r w:rsidRPr="00A3168A">
        <w:t>1 osoba</w:t>
      </w:r>
    </w:p>
    <w:p w14:paraId="3DA41461" w14:textId="77777777" w:rsidR="004B3D60" w:rsidRPr="00A3168A" w:rsidRDefault="004B3D60" w:rsidP="004B3D60">
      <w:pPr>
        <w:pStyle w:val="Odsekzoznamu"/>
        <w:tabs>
          <w:tab w:val="left" w:pos="0"/>
        </w:tabs>
        <w:ind w:left="426" w:right="-569"/>
        <w:jc w:val="both"/>
      </w:pPr>
    </w:p>
    <w:p w14:paraId="2B398902" w14:textId="33FC62B9" w:rsidR="0022256D" w:rsidRPr="00A3168A" w:rsidRDefault="0022256D" w:rsidP="008B338F">
      <w:pPr>
        <w:tabs>
          <w:tab w:val="left" w:pos="0"/>
        </w:tabs>
        <w:ind w:right="-569"/>
        <w:jc w:val="both"/>
      </w:pPr>
    </w:p>
    <w:p w14:paraId="5949D0AA" w14:textId="77777777" w:rsidR="004F302C" w:rsidRPr="00986F31" w:rsidRDefault="004F302C" w:rsidP="00A375C7">
      <w:pPr>
        <w:pStyle w:val="Nadpis2"/>
        <w:numPr>
          <w:ilvl w:val="1"/>
          <w:numId w:val="29"/>
        </w:numPr>
        <w:rPr>
          <w:rFonts w:ascii="Times New Roman" w:hAnsi="Times New Roman" w:cs="Times New Roman"/>
          <w:b/>
        </w:rPr>
      </w:pPr>
      <w:bookmarkStart w:id="42" w:name="_Toc71783135"/>
      <w:r w:rsidRPr="00986F31">
        <w:rPr>
          <w:rFonts w:ascii="Times New Roman" w:hAnsi="Times New Roman" w:cs="Times New Roman"/>
          <w:b/>
        </w:rPr>
        <w:t>Príspevkové organizácie v pôsobnosti kapitoly</w:t>
      </w:r>
      <w:bookmarkEnd w:id="42"/>
    </w:p>
    <w:p w14:paraId="7FD6F9C6" w14:textId="77777777" w:rsidR="004912A3" w:rsidRPr="00A3168A" w:rsidRDefault="004912A3" w:rsidP="003C1FD1">
      <w:pPr>
        <w:ind w:firstLine="708"/>
        <w:jc w:val="both"/>
      </w:pPr>
    </w:p>
    <w:p w14:paraId="49F33828" w14:textId="2BDBF8A0" w:rsidR="009A2B70" w:rsidRPr="00A3168A" w:rsidRDefault="004F302C" w:rsidP="00D47587">
      <w:pPr>
        <w:tabs>
          <w:tab w:val="left" w:pos="709"/>
        </w:tabs>
        <w:ind w:firstLine="708"/>
        <w:jc w:val="both"/>
      </w:pPr>
      <w:r w:rsidRPr="00A3168A">
        <w:t xml:space="preserve">Kancelária prezidenta nemá </w:t>
      </w:r>
      <w:r w:rsidR="00845277" w:rsidRPr="00A3168A">
        <w:t xml:space="preserve">vo svojej pôsobnosti </w:t>
      </w:r>
      <w:r w:rsidR="003C1FD1" w:rsidRPr="00A3168A">
        <w:t xml:space="preserve">príspevkové </w:t>
      </w:r>
      <w:r w:rsidR="00845277" w:rsidRPr="00A3168A">
        <w:t xml:space="preserve">ani žiadne iné </w:t>
      </w:r>
      <w:r w:rsidR="003C1FD1" w:rsidRPr="00A3168A">
        <w:t>organizácie.</w:t>
      </w:r>
    </w:p>
    <w:p w14:paraId="1D1E6508" w14:textId="40927C2A" w:rsidR="00D47587" w:rsidRPr="00A3168A" w:rsidRDefault="00D47587" w:rsidP="00D47587">
      <w:pPr>
        <w:tabs>
          <w:tab w:val="left" w:pos="709"/>
        </w:tabs>
        <w:ind w:firstLine="708"/>
        <w:jc w:val="both"/>
      </w:pPr>
    </w:p>
    <w:p w14:paraId="4EB2366B" w14:textId="2A90C0DF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0E43E2B0" w14:textId="2C4CFBED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206989CB" w14:textId="331D0EBB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7CCAE296" w14:textId="537AC67F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281DD513" w14:textId="1C4BAC26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1E17EE8C" w14:textId="07E6C530" w:rsidR="00776011" w:rsidRPr="00A3168A" w:rsidRDefault="00776011" w:rsidP="00D47587">
      <w:pPr>
        <w:tabs>
          <w:tab w:val="left" w:pos="709"/>
        </w:tabs>
        <w:ind w:firstLine="708"/>
        <w:jc w:val="both"/>
      </w:pPr>
    </w:p>
    <w:p w14:paraId="67D5474A" w14:textId="4259C448" w:rsidR="00776011" w:rsidRDefault="00776011" w:rsidP="00EF4F74">
      <w:pPr>
        <w:spacing w:after="200" w:line="276" w:lineRule="auto"/>
      </w:pPr>
    </w:p>
    <w:p w14:paraId="08CBCA70" w14:textId="4D4FA051" w:rsidR="00816573" w:rsidRDefault="00816573" w:rsidP="00EF4F74">
      <w:pPr>
        <w:spacing w:after="200" w:line="276" w:lineRule="auto"/>
      </w:pPr>
    </w:p>
    <w:p w14:paraId="02C63253" w14:textId="70E40A62" w:rsidR="00816573" w:rsidRDefault="00816573" w:rsidP="00EF4F74">
      <w:pPr>
        <w:spacing w:after="200" w:line="276" w:lineRule="auto"/>
      </w:pPr>
    </w:p>
    <w:p w14:paraId="776F47E9" w14:textId="0F27F262" w:rsidR="00816573" w:rsidRDefault="00816573" w:rsidP="00EF4F74">
      <w:pPr>
        <w:spacing w:after="200" w:line="276" w:lineRule="auto"/>
      </w:pPr>
    </w:p>
    <w:p w14:paraId="0A8A4B6F" w14:textId="546651BA" w:rsidR="00816573" w:rsidRDefault="00816573" w:rsidP="00EF4F74">
      <w:pPr>
        <w:spacing w:after="200" w:line="276" w:lineRule="auto"/>
      </w:pPr>
    </w:p>
    <w:p w14:paraId="745A2B0D" w14:textId="054D3016" w:rsidR="00816573" w:rsidRDefault="00816573" w:rsidP="00EF4F74">
      <w:pPr>
        <w:spacing w:after="200" w:line="276" w:lineRule="auto"/>
      </w:pPr>
    </w:p>
    <w:p w14:paraId="7D3A5C35" w14:textId="114A13F3" w:rsidR="00816573" w:rsidRDefault="00816573" w:rsidP="00EF4F74">
      <w:pPr>
        <w:spacing w:after="200" w:line="276" w:lineRule="auto"/>
      </w:pPr>
    </w:p>
    <w:p w14:paraId="61EC1E87" w14:textId="49999820" w:rsidR="00816573" w:rsidRDefault="00816573" w:rsidP="00EF4F74">
      <w:pPr>
        <w:spacing w:after="200" w:line="276" w:lineRule="auto"/>
      </w:pPr>
    </w:p>
    <w:p w14:paraId="246DDEE4" w14:textId="615AB7FC" w:rsidR="00816573" w:rsidRDefault="00816573" w:rsidP="00EF4F74">
      <w:pPr>
        <w:spacing w:after="200" w:line="276" w:lineRule="auto"/>
      </w:pPr>
    </w:p>
    <w:p w14:paraId="7051257F" w14:textId="0E5E81F2" w:rsidR="00816573" w:rsidRDefault="00816573" w:rsidP="00EF4F74">
      <w:pPr>
        <w:spacing w:after="200" w:line="276" w:lineRule="auto"/>
      </w:pPr>
    </w:p>
    <w:p w14:paraId="5AABDE47" w14:textId="4A49A149" w:rsidR="00816573" w:rsidRDefault="00816573" w:rsidP="00EF4F74">
      <w:pPr>
        <w:spacing w:after="200" w:line="276" w:lineRule="auto"/>
      </w:pPr>
    </w:p>
    <w:p w14:paraId="05BD5D17" w14:textId="62B95C47" w:rsidR="00816573" w:rsidRDefault="00816573" w:rsidP="00EF4F74">
      <w:pPr>
        <w:spacing w:after="200" w:line="276" w:lineRule="auto"/>
      </w:pPr>
    </w:p>
    <w:p w14:paraId="7C160727" w14:textId="50004299" w:rsidR="00816573" w:rsidRDefault="00816573" w:rsidP="00EF4F74">
      <w:pPr>
        <w:spacing w:after="200" w:line="276" w:lineRule="auto"/>
      </w:pPr>
    </w:p>
    <w:p w14:paraId="3507BBE1" w14:textId="73221CBB" w:rsidR="00816573" w:rsidRDefault="00816573" w:rsidP="00EF4F74">
      <w:pPr>
        <w:spacing w:after="200" w:line="276" w:lineRule="auto"/>
      </w:pPr>
    </w:p>
    <w:p w14:paraId="4098E47F" w14:textId="3925E5F8" w:rsidR="00816573" w:rsidRPr="00A3168A" w:rsidRDefault="00816573" w:rsidP="00EF4F74">
      <w:pPr>
        <w:spacing w:after="200" w:line="276" w:lineRule="auto"/>
      </w:pPr>
    </w:p>
    <w:p w14:paraId="4A8CB16C" w14:textId="0B9FF0AB" w:rsidR="004F302C" w:rsidRPr="00A3168A" w:rsidRDefault="004F302C" w:rsidP="00A375C7">
      <w:pPr>
        <w:pStyle w:val="Nadpis1"/>
        <w:numPr>
          <w:ilvl w:val="0"/>
          <w:numId w:val="29"/>
        </w:numPr>
        <w:rPr>
          <w:rFonts w:cs="Times New Roman"/>
        </w:rPr>
      </w:pPr>
      <w:bookmarkStart w:id="43" w:name="_Toc71783136"/>
      <w:r w:rsidRPr="00A3168A">
        <w:rPr>
          <w:rFonts w:cs="Times New Roman"/>
        </w:rPr>
        <w:lastRenderedPageBreak/>
        <w:t>Tabuľková časť</w:t>
      </w:r>
      <w:bookmarkEnd w:id="43"/>
    </w:p>
    <w:p w14:paraId="3C8B6C41" w14:textId="70423B12" w:rsidR="001763F3" w:rsidRPr="00A3168A" w:rsidRDefault="004F302C" w:rsidP="001763F3">
      <w:pPr>
        <w:tabs>
          <w:tab w:val="left" w:pos="1134"/>
        </w:tabs>
      </w:pPr>
      <w:r w:rsidRPr="00A3168A">
        <w:t xml:space="preserve">                </w:t>
      </w:r>
      <w:r w:rsidR="001763F3" w:rsidRPr="00A3168A">
        <w:tab/>
      </w:r>
    </w:p>
    <w:p w14:paraId="4BC4BED9" w14:textId="5C179997" w:rsidR="001763F3" w:rsidRPr="00A3168A" w:rsidRDefault="00575098" w:rsidP="006C68E0">
      <w:pPr>
        <w:ind w:firstLine="709"/>
        <w:jc w:val="both"/>
      </w:pPr>
      <w:r w:rsidRPr="00A3168A">
        <w:t>V zmysle s</w:t>
      </w:r>
      <w:r w:rsidR="0087030A">
        <w:t>mernice Ministerstva financií Slovenskej republiky</w:t>
      </w:r>
      <w:r w:rsidRPr="00A3168A">
        <w:t xml:space="preserve"> zo dňa </w:t>
      </w:r>
      <w:r w:rsidR="0087030A">
        <w:br/>
      </w:r>
      <w:r w:rsidR="008B338F" w:rsidRPr="00A3168A">
        <w:t>4</w:t>
      </w:r>
      <w:r w:rsidRPr="00A3168A">
        <w:t xml:space="preserve">. </w:t>
      </w:r>
      <w:r w:rsidR="008B338F" w:rsidRPr="00A3168A">
        <w:t>februára</w:t>
      </w:r>
      <w:r w:rsidRPr="00A3168A">
        <w:t xml:space="preserve"> 20</w:t>
      </w:r>
      <w:r w:rsidR="008B338F" w:rsidRPr="00A3168A">
        <w:t>21</w:t>
      </w:r>
      <w:r w:rsidR="0087030A">
        <w:t xml:space="preserve"> </w:t>
      </w:r>
      <w:r w:rsidR="009D6CB1" w:rsidRPr="00A3168A">
        <w:t>č. MF/</w:t>
      </w:r>
      <w:r w:rsidR="008B338F" w:rsidRPr="00A3168A">
        <w:t>005869/2021-31</w:t>
      </w:r>
      <w:r w:rsidRPr="00A3168A">
        <w:t xml:space="preserve"> na vypracovanie záverečných účtov kapitol štátneho rozpočtu a štátnych fondov</w:t>
      </w:r>
      <w:r w:rsidR="00A15907" w:rsidRPr="00A3168A">
        <w:t xml:space="preserve"> za rok 2020</w:t>
      </w:r>
      <w:r w:rsidRPr="00A3168A">
        <w:t xml:space="preserve"> v tabuľkovej časti predkladaného návrhu záverečného účtu uvádzame nasledovné tabuľky:</w:t>
      </w:r>
    </w:p>
    <w:p w14:paraId="55DA5E60" w14:textId="77777777" w:rsidR="001763F3" w:rsidRPr="00A3168A" w:rsidRDefault="001763F3" w:rsidP="00575098">
      <w:pPr>
        <w:jc w:val="both"/>
      </w:pPr>
      <w:r w:rsidRPr="00A3168A">
        <w:tab/>
      </w:r>
      <w:r w:rsidRPr="00A3168A">
        <w:tab/>
      </w:r>
    </w:p>
    <w:p w14:paraId="35637705" w14:textId="77777777" w:rsidR="001763F3" w:rsidRPr="00A3168A" w:rsidRDefault="001763F3" w:rsidP="001763F3">
      <w:pPr>
        <w:tabs>
          <w:tab w:val="left" w:pos="709"/>
        </w:tabs>
      </w:pPr>
      <w:r w:rsidRPr="00A3168A">
        <w:tab/>
      </w:r>
    </w:p>
    <w:p w14:paraId="43D9D51B" w14:textId="77777777" w:rsidR="004F302C" w:rsidRPr="00A3168A" w:rsidRDefault="004F302C" w:rsidP="004F302C">
      <w:pPr>
        <w:ind w:left="1416"/>
      </w:pPr>
    </w:p>
    <w:p w14:paraId="16D141EE" w14:textId="23D5922F" w:rsidR="004F302C" w:rsidRPr="00A3168A" w:rsidRDefault="004F302C" w:rsidP="004F302C">
      <w:pPr>
        <w:ind w:left="1416"/>
      </w:pPr>
      <w:r w:rsidRPr="00A3168A">
        <w:t>Tabuľka č. 1   Celkový prehľad príjmov a výdavkov kapitoly</w:t>
      </w:r>
      <w:r w:rsidR="008B338F" w:rsidRPr="00A3168A">
        <w:t xml:space="preserve"> ŠR za rok 2020</w:t>
      </w:r>
      <w:r w:rsidRPr="00A3168A">
        <w:t xml:space="preserve">         </w:t>
      </w:r>
    </w:p>
    <w:p w14:paraId="74DB081F" w14:textId="77777777" w:rsidR="004F302C" w:rsidRPr="00A3168A" w:rsidRDefault="004F302C" w:rsidP="004F302C">
      <w:pPr>
        <w:ind w:left="1416"/>
      </w:pPr>
    </w:p>
    <w:p w14:paraId="11D3841A" w14:textId="77777777" w:rsidR="004F302C" w:rsidRPr="00A3168A" w:rsidRDefault="004F302C" w:rsidP="004F302C">
      <w:pPr>
        <w:ind w:left="1416"/>
      </w:pPr>
    </w:p>
    <w:p w14:paraId="7A7F9037" w14:textId="77777777" w:rsidR="008E7EF5" w:rsidRPr="00A3168A" w:rsidRDefault="004F302C" w:rsidP="008E7EF5">
      <w:pPr>
        <w:ind w:left="1416"/>
      </w:pPr>
      <w:r w:rsidRPr="00A3168A">
        <w:t>Tabuľka č. 2   Výdavky kapitoly</w:t>
      </w:r>
      <w:r w:rsidR="00575098" w:rsidRPr="00A3168A">
        <w:t xml:space="preserve"> ŠR </w:t>
      </w:r>
      <w:r w:rsidRPr="00A3168A">
        <w:t xml:space="preserve"> podľa ekonomickej</w:t>
      </w:r>
      <w:r w:rsidR="008E7EF5" w:rsidRPr="00A3168A">
        <w:t xml:space="preserve"> </w:t>
      </w:r>
      <w:r w:rsidRPr="00A3168A">
        <w:t>a funkčnej klasifikácie</w:t>
      </w:r>
      <w:r w:rsidR="00575098" w:rsidRPr="00A3168A">
        <w:t xml:space="preserve"> </w:t>
      </w:r>
      <w:r w:rsidR="008E7EF5" w:rsidRPr="00A3168A">
        <w:t xml:space="preserve"> </w:t>
      </w:r>
    </w:p>
    <w:p w14:paraId="0ACC85B8" w14:textId="333557EE" w:rsidR="004F302C" w:rsidRPr="00A3168A" w:rsidRDefault="008E7EF5" w:rsidP="008E7EF5">
      <w:pPr>
        <w:ind w:left="1416"/>
      </w:pPr>
      <w:r w:rsidRPr="00A3168A">
        <w:t xml:space="preserve">                        </w:t>
      </w:r>
      <w:r w:rsidR="0092776D" w:rsidRPr="00A3168A">
        <w:t>za rok 2020</w:t>
      </w:r>
      <w:r w:rsidR="004F302C" w:rsidRPr="00A3168A">
        <w:tab/>
      </w:r>
      <w:r w:rsidR="004F302C" w:rsidRPr="00A3168A">
        <w:tab/>
      </w:r>
      <w:r w:rsidR="004F302C" w:rsidRPr="00A3168A">
        <w:tab/>
      </w:r>
      <w:r w:rsidR="004F302C" w:rsidRPr="00A3168A">
        <w:tab/>
      </w:r>
      <w:r w:rsidR="004F302C" w:rsidRPr="00A3168A">
        <w:tab/>
      </w:r>
      <w:r w:rsidR="004F302C" w:rsidRPr="00A3168A">
        <w:tab/>
      </w:r>
      <w:r w:rsidR="004F302C" w:rsidRPr="00A3168A">
        <w:tab/>
      </w:r>
    </w:p>
    <w:p w14:paraId="6332A182" w14:textId="4567160D" w:rsidR="009A3D61" w:rsidRDefault="009A3D61" w:rsidP="004F302C"/>
    <w:p w14:paraId="1EC5B7C2" w14:textId="77777777" w:rsidR="0087030A" w:rsidRPr="00A3168A" w:rsidRDefault="0087030A" w:rsidP="004F302C"/>
    <w:p w14:paraId="286AE4E0" w14:textId="0D0BC840" w:rsidR="004F302C" w:rsidRPr="00A3168A" w:rsidRDefault="004F302C" w:rsidP="004F302C">
      <w:pPr>
        <w:ind w:left="708" w:firstLine="708"/>
      </w:pPr>
      <w:r w:rsidRPr="00A3168A">
        <w:t xml:space="preserve">Tabuľka č. 3   Finančné operácie kapitoly </w:t>
      </w:r>
      <w:r w:rsidR="008B338F" w:rsidRPr="00A3168A">
        <w:t>ŠR za rok 2020</w:t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</w:r>
    </w:p>
    <w:p w14:paraId="27DB2763" w14:textId="77777777" w:rsidR="004F302C" w:rsidRPr="00A3168A" w:rsidRDefault="004F302C" w:rsidP="004F302C">
      <w:pPr>
        <w:ind w:left="708" w:firstLine="708"/>
      </w:pPr>
    </w:p>
    <w:p w14:paraId="1D82DBC8" w14:textId="77777777" w:rsidR="004F302C" w:rsidRPr="00A3168A" w:rsidRDefault="004F302C" w:rsidP="004F302C">
      <w:pPr>
        <w:ind w:left="708" w:firstLine="708"/>
      </w:pPr>
      <w:r w:rsidRPr="00A3168A">
        <w:t>Tabuľka č. 4   Záväzné ukazovatele kapitoly</w:t>
      </w:r>
      <w:r w:rsidRPr="00A3168A">
        <w:tab/>
      </w:r>
      <w:r w:rsidRPr="00A3168A">
        <w:tab/>
      </w:r>
      <w:r w:rsidRPr="00A3168A">
        <w:tab/>
      </w:r>
      <w:r w:rsidRPr="00A3168A">
        <w:tab/>
      </w:r>
      <w:r w:rsidRPr="00A3168A">
        <w:tab/>
      </w:r>
    </w:p>
    <w:p w14:paraId="403640D4" w14:textId="77777777" w:rsidR="004F302C" w:rsidRPr="00A3168A" w:rsidRDefault="004F302C" w:rsidP="004F302C">
      <w:pPr>
        <w:ind w:left="708" w:firstLine="708"/>
      </w:pPr>
    </w:p>
    <w:p w14:paraId="7C61CF31" w14:textId="77777777" w:rsidR="004F302C" w:rsidRPr="00A3168A" w:rsidRDefault="004F302C" w:rsidP="00287E22">
      <w:pPr>
        <w:ind w:left="708" w:firstLine="708"/>
      </w:pPr>
      <w:r w:rsidRPr="00A3168A">
        <w:t xml:space="preserve"> </w:t>
      </w:r>
    </w:p>
    <w:p w14:paraId="4F568442" w14:textId="77777777" w:rsidR="00287E22" w:rsidRPr="00A3168A" w:rsidRDefault="00287E22" w:rsidP="00575098">
      <w:pPr>
        <w:ind w:left="708" w:firstLine="426"/>
      </w:pPr>
    </w:p>
    <w:p w14:paraId="0DAB4250" w14:textId="383B955A" w:rsidR="00304AA5" w:rsidRPr="00A3168A" w:rsidRDefault="00971099" w:rsidP="00776011">
      <w:pPr>
        <w:ind w:firstLine="360"/>
        <w:jc w:val="both"/>
      </w:pPr>
      <w:r w:rsidRPr="00A3168A">
        <w:t xml:space="preserve">Vzhľadom na skutočnosť, že kapitola Kancelária prezidenta nemá vo svojej podriadenosti príspevkové organizácie, tabuľky č. 5 a č. 6 nie sú súčasťou záverečného účtu. </w:t>
      </w:r>
    </w:p>
    <w:p w14:paraId="151B2083" w14:textId="75EEF598" w:rsidR="00E23EC1" w:rsidRPr="00A3168A" w:rsidRDefault="00E23EC1" w:rsidP="004F302C">
      <w:pPr>
        <w:tabs>
          <w:tab w:val="center" w:pos="0"/>
        </w:tabs>
        <w:jc w:val="both"/>
      </w:pPr>
    </w:p>
    <w:p w14:paraId="6B50C738" w14:textId="6AEE7936" w:rsidR="00BE2C7A" w:rsidRPr="00A3168A" w:rsidRDefault="00BE2C7A" w:rsidP="004F302C">
      <w:pPr>
        <w:tabs>
          <w:tab w:val="center" w:pos="0"/>
        </w:tabs>
        <w:jc w:val="both"/>
      </w:pPr>
    </w:p>
    <w:p w14:paraId="59ACEC27" w14:textId="6A46F593" w:rsidR="00BE2C7A" w:rsidRPr="00A3168A" w:rsidRDefault="00BE2C7A" w:rsidP="004F302C">
      <w:pPr>
        <w:tabs>
          <w:tab w:val="center" w:pos="0"/>
        </w:tabs>
        <w:jc w:val="both"/>
      </w:pPr>
    </w:p>
    <w:p w14:paraId="3F480409" w14:textId="1024A295" w:rsidR="00BE2C7A" w:rsidRPr="00A3168A" w:rsidRDefault="00BE2C7A" w:rsidP="004F302C">
      <w:pPr>
        <w:tabs>
          <w:tab w:val="center" w:pos="0"/>
        </w:tabs>
        <w:jc w:val="both"/>
      </w:pPr>
    </w:p>
    <w:p w14:paraId="687DEC8B" w14:textId="345322E5" w:rsidR="00BE2C7A" w:rsidRPr="00A3168A" w:rsidRDefault="00BE2C7A" w:rsidP="004F302C">
      <w:pPr>
        <w:tabs>
          <w:tab w:val="center" w:pos="0"/>
        </w:tabs>
        <w:jc w:val="both"/>
      </w:pPr>
    </w:p>
    <w:p w14:paraId="746E7D63" w14:textId="65CFA8FA" w:rsidR="00BE2C7A" w:rsidRPr="00A3168A" w:rsidRDefault="00BE2C7A" w:rsidP="004F302C">
      <w:pPr>
        <w:tabs>
          <w:tab w:val="center" w:pos="0"/>
        </w:tabs>
        <w:jc w:val="both"/>
      </w:pPr>
    </w:p>
    <w:p w14:paraId="6523CA91" w14:textId="35C8366E" w:rsidR="00FF387B" w:rsidRPr="00A3168A" w:rsidRDefault="00FF387B" w:rsidP="00FF387B">
      <w:pPr>
        <w:spacing w:after="200" w:line="276" w:lineRule="auto"/>
      </w:pPr>
    </w:p>
    <w:p w14:paraId="5CDCDE12" w14:textId="23B9D947" w:rsidR="00FF387B" w:rsidRPr="00A3168A" w:rsidRDefault="00FF387B" w:rsidP="00FF387B">
      <w:pPr>
        <w:spacing w:after="200" w:line="276" w:lineRule="auto"/>
      </w:pPr>
    </w:p>
    <w:p w14:paraId="2BD13749" w14:textId="6FC9EB34" w:rsidR="00FF387B" w:rsidRDefault="00FF387B" w:rsidP="00FF387B">
      <w:pPr>
        <w:spacing w:after="200" w:line="276" w:lineRule="auto"/>
      </w:pPr>
    </w:p>
    <w:p w14:paraId="30510AC6" w14:textId="444A9706" w:rsidR="00874698" w:rsidRDefault="00874698" w:rsidP="00FF387B">
      <w:pPr>
        <w:spacing w:after="200" w:line="276" w:lineRule="auto"/>
      </w:pPr>
    </w:p>
    <w:p w14:paraId="7C909FF6" w14:textId="01201B31" w:rsidR="00874698" w:rsidRDefault="00874698" w:rsidP="00FF387B">
      <w:pPr>
        <w:spacing w:after="200" w:line="276" w:lineRule="auto"/>
      </w:pPr>
    </w:p>
    <w:p w14:paraId="47BFC931" w14:textId="77777777" w:rsidR="00874698" w:rsidRPr="00A3168A" w:rsidRDefault="00874698" w:rsidP="00FF387B">
      <w:pPr>
        <w:spacing w:after="200" w:line="276" w:lineRule="auto"/>
      </w:pPr>
    </w:p>
    <w:p w14:paraId="7BA46539" w14:textId="3706B814" w:rsidR="00FF387B" w:rsidRPr="00A3168A" w:rsidRDefault="00FF387B" w:rsidP="00FF387B">
      <w:pPr>
        <w:spacing w:after="200" w:line="276" w:lineRule="auto"/>
      </w:pPr>
    </w:p>
    <w:p w14:paraId="7A0C58CB" w14:textId="377164F2" w:rsidR="00FF387B" w:rsidRPr="00A3168A" w:rsidRDefault="00FF387B" w:rsidP="00FF387B">
      <w:pPr>
        <w:spacing w:after="200" w:line="276" w:lineRule="auto"/>
        <w:sectPr w:rsidR="00FF387B" w:rsidRPr="00A3168A" w:rsidSect="0076422D">
          <w:type w:val="continuous"/>
          <w:pgSz w:w="11906" w:h="16838" w:code="9"/>
          <w:pgMar w:top="1418" w:right="1133" w:bottom="1418" w:left="1418" w:header="709" w:footer="709" w:gutter="0"/>
          <w:cols w:space="708"/>
          <w:titlePg/>
          <w:docGrid w:linePitch="360"/>
        </w:sectPr>
      </w:pPr>
    </w:p>
    <w:p w14:paraId="189DED6C" w14:textId="77777777" w:rsidR="004F302C" w:rsidRPr="00A3168A" w:rsidRDefault="004F302C" w:rsidP="00A375C7">
      <w:pPr>
        <w:pStyle w:val="Nadpis1"/>
        <w:numPr>
          <w:ilvl w:val="0"/>
          <w:numId w:val="29"/>
        </w:numPr>
        <w:rPr>
          <w:rFonts w:cs="Times New Roman"/>
        </w:rPr>
      </w:pPr>
      <w:bookmarkStart w:id="44" w:name="_Toc71783137"/>
      <w:r w:rsidRPr="00A3168A">
        <w:rPr>
          <w:rFonts w:cs="Times New Roman"/>
        </w:rPr>
        <w:lastRenderedPageBreak/>
        <w:t>Prílohy</w:t>
      </w:r>
      <w:bookmarkEnd w:id="44"/>
    </w:p>
    <w:p w14:paraId="0AADF571" w14:textId="60A46A57" w:rsidR="00C76979" w:rsidRPr="00A3168A" w:rsidRDefault="004F302C" w:rsidP="004F302C">
      <w:r w:rsidRPr="00A3168A">
        <w:t xml:space="preserve">               </w:t>
      </w:r>
    </w:p>
    <w:p w14:paraId="4EADA8EC" w14:textId="77777777" w:rsidR="004F302C" w:rsidRPr="00A3168A" w:rsidRDefault="00C76979" w:rsidP="004F302C">
      <w:r w:rsidRPr="00A3168A">
        <w:tab/>
      </w:r>
      <w:r w:rsidRPr="00A3168A">
        <w:rPr>
          <w:b/>
        </w:rPr>
        <w:t xml:space="preserve">Príloha č. 1 </w:t>
      </w:r>
      <w:r w:rsidR="004F302C" w:rsidRPr="00A3168A">
        <w:rPr>
          <w:b/>
        </w:rPr>
        <w:t xml:space="preserve"> </w:t>
      </w:r>
      <w:r w:rsidRPr="00A3168A">
        <w:rPr>
          <w:b/>
        </w:rPr>
        <w:t xml:space="preserve">- </w:t>
      </w:r>
      <w:r w:rsidRPr="00A3168A">
        <w:t>Kancelária prezidenta nemá povinnosť predkladať.</w:t>
      </w:r>
    </w:p>
    <w:p w14:paraId="77363A66" w14:textId="77777777" w:rsidR="00C76979" w:rsidRPr="00A3168A" w:rsidRDefault="00C76979" w:rsidP="004F302C">
      <w:pPr>
        <w:rPr>
          <w:b/>
        </w:rPr>
      </w:pPr>
    </w:p>
    <w:p w14:paraId="766B64FF" w14:textId="77777777" w:rsidR="004F302C" w:rsidRPr="00A3168A" w:rsidRDefault="004F302C" w:rsidP="004F302C">
      <w:pPr>
        <w:ind w:left="1416"/>
      </w:pPr>
    </w:p>
    <w:p w14:paraId="7281936C" w14:textId="0304D4A9" w:rsidR="00A87B93" w:rsidRPr="00A3168A" w:rsidRDefault="007C7225" w:rsidP="007C7225">
      <w:pPr>
        <w:ind w:left="1416" w:hanging="707"/>
        <w:rPr>
          <w:b/>
        </w:rPr>
      </w:pPr>
      <w:r w:rsidRPr="00A3168A">
        <w:rPr>
          <w:b/>
        </w:rPr>
        <w:t>Príloha č. 2</w:t>
      </w:r>
    </w:p>
    <w:p w14:paraId="70019802" w14:textId="77777777" w:rsidR="007C7225" w:rsidRPr="00A3168A" w:rsidRDefault="007C7225" w:rsidP="004F302C">
      <w:pPr>
        <w:ind w:left="1416"/>
      </w:pPr>
    </w:p>
    <w:p w14:paraId="083175A6" w14:textId="25B0CB88" w:rsidR="007C7225" w:rsidRPr="00A3168A" w:rsidRDefault="007C7225" w:rsidP="002F66C7">
      <w:pPr>
        <w:ind w:left="709"/>
        <w:jc w:val="both"/>
      </w:pPr>
      <w:r w:rsidRPr="00A3168A">
        <w:t xml:space="preserve">Zhodnotenie výsledkov </w:t>
      </w:r>
      <w:r w:rsidR="00A87B93" w:rsidRPr="00A3168A">
        <w:t>interných</w:t>
      </w:r>
      <w:r w:rsidR="00FF03F4" w:rsidRPr="00A3168A">
        <w:t xml:space="preserve"> a externých</w:t>
      </w:r>
      <w:r w:rsidR="00A87B93" w:rsidRPr="00A3168A">
        <w:t xml:space="preserve"> kontrol</w:t>
      </w:r>
      <w:r w:rsidRPr="00A3168A">
        <w:t xml:space="preserve"> vykonan</w:t>
      </w:r>
      <w:r w:rsidR="00A87B93" w:rsidRPr="00A3168A">
        <w:t>ých</w:t>
      </w:r>
      <w:r w:rsidRPr="00A3168A">
        <w:t xml:space="preserve"> v hodnotenom rozpočtovom roku</w:t>
      </w:r>
    </w:p>
    <w:p w14:paraId="6C7B0A96" w14:textId="77777777" w:rsidR="007C7225" w:rsidRPr="00A3168A" w:rsidRDefault="007C7225" w:rsidP="004F302C">
      <w:pPr>
        <w:ind w:left="1416"/>
      </w:pPr>
    </w:p>
    <w:p w14:paraId="47521FEB" w14:textId="77777777" w:rsidR="004F302C" w:rsidRPr="00A3168A" w:rsidRDefault="004F302C" w:rsidP="004F302C">
      <w:pPr>
        <w:ind w:left="1416"/>
      </w:pPr>
    </w:p>
    <w:p w14:paraId="349F44ED" w14:textId="77777777" w:rsidR="00030059" w:rsidRPr="00A3168A" w:rsidRDefault="004F302C" w:rsidP="007C7225">
      <w:pPr>
        <w:ind w:left="1416" w:hanging="707"/>
      </w:pPr>
      <w:r w:rsidRPr="00A3168A">
        <w:rPr>
          <w:b/>
        </w:rPr>
        <w:t xml:space="preserve">Príloha č. </w:t>
      </w:r>
      <w:r w:rsidR="007C7225" w:rsidRPr="00A3168A">
        <w:rPr>
          <w:b/>
        </w:rPr>
        <w:t>3</w:t>
      </w:r>
      <w:r w:rsidRPr="00A3168A">
        <w:t xml:space="preserve">   </w:t>
      </w:r>
    </w:p>
    <w:p w14:paraId="5D2407AC" w14:textId="77777777" w:rsidR="00030059" w:rsidRPr="00A3168A" w:rsidRDefault="00030059" w:rsidP="007C7225">
      <w:pPr>
        <w:ind w:left="1416" w:hanging="707"/>
      </w:pPr>
    </w:p>
    <w:p w14:paraId="4680F386" w14:textId="21287066" w:rsidR="002E1354" w:rsidRPr="00A3168A" w:rsidRDefault="004F302C" w:rsidP="00041256">
      <w:pPr>
        <w:ind w:left="1416" w:hanging="707"/>
      </w:pPr>
      <w:r w:rsidRPr="00A3168A">
        <w:t>Monitorovacia správa p</w:t>
      </w:r>
      <w:r w:rsidR="00E77E81" w:rsidRPr="00A3168A">
        <w:t>rogramovej štruktúry k 31.12.2020</w:t>
      </w:r>
    </w:p>
    <w:p w14:paraId="276CCD80" w14:textId="4158B379" w:rsidR="00BE2C7A" w:rsidRPr="00A3168A" w:rsidRDefault="00BE2C7A" w:rsidP="00041256">
      <w:pPr>
        <w:ind w:left="1416" w:hanging="707"/>
      </w:pPr>
    </w:p>
    <w:p w14:paraId="02EA0C17" w14:textId="2E0999BB" w:rsidR="00BE2C7A" w:rsidRPr="00A3168A" w:rsidRDefault="00BE2C7A" w:rsidP="00041256">
      <w:pPr>
        <w:ind w:left="1416" w:hanging="707"/>
      </w:pPr>
    </w:p>
    <w:p w14:paraId="415B754C" w14:textId="2E7964E3" w:rsidR="00BE2C7A" w:rsidRPr="00A3168A" w:rsidRDefault="00BE2C7A" w:rsidP="00041256">
      <w:pPr>
        <w:ind w:left="1416" w:hanging="707"/>
      </w:pPr>
    </w:p>
    <w:p w14:paraId="022031EF" w14:textId="15E7AD1E" w:rsidR="00BE2C7A" w:rsidRPr="00A3168A" w:rsidRDefault="00BE2C7A" w:rsidP="00041256">
      <w:pPr>
        <w:ind w:left="1416" w:hanging="707"/>
      </w:pPr>
    </w:p>
    <w:p w14:paraId="73E905D4" w14:textId="2FCDC6A8" w:rsidR="00BE2C7A" w:rsidRPr="00A3168A" w:rsidRDefault="00BE2C7A" w:rsidP="00041256">
      <w:pPr>
        <w:ind w:left="1416" w:hanging="707"/>
      </w:pPr>
    </w:p>
    <w:p w14:paraId="044AE00B" w14:textId="2DE02397" w:rsidR="00BE2C7A" w:rsidRPr="00A3168A" w:rsidRDefault="00BE2C7A" w:rsidP="00041256">
      <w:pPr>
        <w:ind w:left="1416" w:hanging="707"/>
      </w:pPr>
    </w:p>
    <w:p w14:paraId="0AC2112E" w14:textId="79214C13" w:rsidR="00BE2C7A" w:rsidRPr="00A3168A" w:rsidRDefault="00BE2C7A" w:rsidP="00041256">
      <w:pPr>
        <w:ind w:left="1416" w:hanging="707"/>
      </w:pPr>
    </w:p>
    <w:p w14:paraId="0D7060E1" w14:textId="31E77046" w:rsidR="00BE2C7A" w:rsidRPr="00A3168A" w:rsidRDefault="00BE2C7A" w:rsidP="00041256">
      <w:pPr>
        <w:ind w:left="1416" w:hanging="707"/>
      </w:pPr>
    </w:p>
    <w:p w14:paraId="16CAF152" w14:textId="7891FAC1" w:rsidR="00BE2C7A" w:rsidRPr="00A3168A" w:rsidRDefault="00BE2C7A" w:rsidP="00041256">
      <w:pPr>
        <w:ind w:left="1416" w:hanging="707"/>
      </w:pPr>
    </w:p>
    <w:p w14:paraId="134DB00B" w14:textId="0D442B65" w:rsidR="00BE2C7A" w:rsidRPr="00A3168A" w:rsidRDefault="00BE2C7A" w:rsidP="00041256">
      <w:pPr>
        <w:ind w:left="1416" w:hanging="707"/>
      </w:pPr>
    </w:p>
    <w:p w14:paraId="0B417A57" w14:textId="2C00BB6F" w:rsidR="00BE2C7A" w:rsidRPr="00A3168A" w:rsidRDefault="00BE2C7A" w:rsidP="00041256">
      <w:pPr>
        <w:ind w:left="1416" w:hanging="707"/>
      </w:pPr>
    </w:p>
    <w:p w14:paraId="33235057" w14:textId="307CFAE8" w:rsidR="00BE2C7A" w:rsidRPr="00A3168A" w:rsidRDefault="00BE2C7A" w:rsidP="00041256">
      <w:pPr>
        <w:ind w:left="1416" w:hanging="707"/>
      </w:pPr>
    </w:p>
    <w:p w14:paraId="45B263C2" w14:textId="579EF2BF" w:rsidR="00BE2C7A" w:rsidRPr="00A3168A" w:rsidRDefault="00BE2C7A" w:rsidP="00041256">
      <w:pPr>
        <w:ind w:left="1416" w:hanging="707"/>
      </w:pPr>
    </w:p>
    <w:p w14:paraId="07D38133" w14:textId="4ADECCD7" w:rsidR="00BE2C7A" w:rsidRPr="00A3168A" w:rsidRDefault="00BE2C7A" w:rsidP="00041256">
      <w:pPr>
        <w:ind w:left="1416" w:hanging="707"/>
      </w:pPr>
    </w:p>
    <w:p w14:paraId="60652AA5" w14:textId="69646867" w:rsidR="00BE2C7A" w:rsidRPr="00A3168A" w:rsidRDefault="00BE2C7A" w:rsidP="00041256">
      <w:pPr>
        <w:ind w:left="1416" w:hanging="707"/>
      </w:pPr>
    </w:p>
    <w:p w14:paraId="4C062B08" w14:textId="4FB8E7A4" w:rsidR="00BE2C7A" w:rsidRPr="00A3168A" w:rsidRDefault="00BE2C7A" w:rsidP="00041256">
      <w:pPr>
        <w:ind w:left="1416" w:hanging="707"/>
      </w:pPr>
    </w:p>
    <w:p w14:paraId="039B5A85" w14:textId="05D35372" w:rsidR="00BE2C7A" w:rsidRPr="00A3168A" w:rsidRDefault="00BE2C7A" w:rsidP="00041256">
      <w:pPr>
        <w:ind w:left="1416" w:hanging="707"/>
      </w:pPr>
    </w:p>
    <w:p w14:paraId="1734F955" w14:textId="2E1B849A" w:rsidR="00BE2C7A" w:rsidRPr="00A3168A" w:rsidRDefault="00BE2C7A" w:rsidP="00041256">
      <w:pPr>
        <w:ind w:left="1416" w:hanging="707"/>
      </w:pPr>
    </w:p>
    <w:p w14:paraId="70BAE454" w14:textId="7F06536B" w:rsidR="00BE2C7A" w:rsidRPr="00A3168A" w:rsidRDefault="00BE2C7A" w:rsidP="00041256">
      <w:pPr>
        <w:ind w:left="1416" w:hanging="707"/>
      </w:pPr>
    </w:p>
    <w:p w14:paraId="30BB1D58" w14:textId="40CD1B2C" w:rsidR="00BE2C7A" w:rsidRPr="00A3168A" w:rsidRDefault="00BE2C7A" w:rsidP="00041256">
      <w:pPr>
        <w:ind w:left="1416" w:hanging="707"/>
      </w:pPr>
    </w:p>
    <w:p w14:paraId="1798312B" w14:textId="5F66DD57" w:rsidR="00BE2C7A" w:rsidRPr="00A3168A" w:rsidRDefault="00BE2C7A" w:rsidP="00041256">
      <w:pPr>
        <w:ind w:left="1416" w:hanging="707"/>
      </w:pPr>
    </w:p>
    <w:p w14:paraId="08464BD8" w14:textId="32226EC9" w:rsidR="00BE2C7A" w:rsidRPr="00A3168A" w:rsidRDefault="00BE2C7A" w:rsidP="00041256">
      <w:pPr>
        <w:ind w:left="1416" w:hanging="707"/>
      </w:pPr>
    </w:p>
    <w:p w14:paraId="6E00F560" w14:textId="0513E76A" w:rsidR="00BE2C7A" w:rsidRPr="00A3168A" w:rsidRDefault="00BE2C7A" w:rsidP="00041256">
      <w:pPr>
        <w:ind w:left="1416" w:hanging="707"/>
      </w:pPr>
    </w:p>
    <w:p w14:paraId="67A16F4C" w14:textId="1E73B0AC" w:rsidR="00BE2C7A" w:rsidRPr="00A3168A" w:rsidRDefault="00BE2C7A" w:rsidP="00041256">
      <w:pPr>
        <w:ind w:left="1416" w:hanging="707"/>
      </w:pPr>
    </w:p>
    <w:p w14:paraId="574D7559" w14:textId="588A1C39" w:rsidR="00BE2C7A" w:rsidRPr="00A3168A" w:rsidRDefault="00BE2C7A" w:rsidP="00041256">
      <w:pPr>
        <w:ind w:left="1416" w:hanging="707"/>
      </w:pPr>
    </w:p>
    <w:p w14:paraId="4569AA9F" w14:textId="594B74E6" w:rsidR="00BE2C7A" w:rsidRPr="00A3168A" w:rsidRDefault="00BE2C7A" w:rsidP="00041256">
      <w:pPr>
        <w:ind w:left="1416" w:hanging="707"/>
      </w:pPr>
    </w:p>
    <w:p w14:paraId="3ED08069" w14:textId="4F077C61" w:rsidR="00BE2C7A" w:rsidRPr="00A3168A" w:rsidRDefault="00BE2C7A" w:rsidP="00041256">
      <w:pPr>
        <w:ind w:left="1416" w:hanging="707"/>
      </w:pPr>
    </w:p>
    <w:p w14:paraId="6D3B7478" w14:textId="52165555" w:rsidR="00BE2C7A" w:rsidRPr="00A3168A" w:rsidRDefault="00BE2C7A" w:rsidP="00041256">
      <w:pPr>
        <w:ind w:left="1416" w:hanging="707"/>
      </w:pPr>
    </w:p>
    <w:p w14:paraId="3DD47060" w14:textId="124C9E53" w:rsidR="00BE2C7A" w:rsidRPr="00A3168A" w:rsidRDefault="00BE2C7A" w:rsidP="00041256">
      <w:pPr>
        <w:ind w:left="1416" w:hanging="707"/>
      </w:pPr>
    </w:p>
    <w:p w14:paraId="2062A1E8" w14:textId="1BE83572" w:rsidR="00BE2C7A" w:rsidRPr="00A3168A" w:rsidRDefault="00BE2C7A" w:rsidP="00041256">
      <w:pPr>
        <w:ind w:left="1416" w:hanging="707"/>
      </w:pPr>
    </w:p>
    <w:p w14:paraId="36571CB3" w14:textId="78592FF2" w:rsidR="00BE2C7A" w:rsidRPr="00A3168A" w:rsidRDefault="00BE2C7A" w:rsidP="00041256">
      <w:pPr>
        <w:ind w:left="1416" w:hanging="707"/>
      </w:pPr>
    </w:p>
    <w:p w14:paraId="10914776" w14:textId="160CB898" w:rsidR="00BE2C7A" w:rsidRPr="00A3168A" w:rsidRDefault="00BE2C7A" w:rsidP="00041256">
      <w:pPr>
        <w:ind w:left="1416" w:hanging="707"/>
      </w:pPr>
    </w:p>
    <w:p w14:paraId="4FBBB22C" w14:textId="5639CFBA" w:rsidR="00BE2C7A" w:rsidRPr="00A3168A" w:rsidRDefault="00BE2C7A" w:rsidP="00FF387B"/>
    <w:sectPr w:rsidR="00BE2C7A" w:rsidRPr="00A3168A" w:rsidSect="00874698">
      <w:pgSz w:w="11906" w:h="16838" w:code="9"/>
      <w:pgMar w:top="1418" w:right="1133" w:bottom="1418" w:left="1418" w:header="709" w:footer="709" w:gutter="0"/>
      <w:pgNumType w:start="26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75C1FE" w16cid:durableId="2416B8D3"/>
  <w16cid:commentId w16cid:paraId="315D333E" w16cid:durableId="2416B8D4"/>
  <w16cid:commentId w16cid:paraId="545857CE" w16cid:durableId="2416B8D5"/>
  <w16cid:commentId w16cid:paraId="34B275C1" w16cid:durableId="2416B8D6"/>
  <w16cid:commentId w16cid:paraId="78D87BB6" w16cid:durableId="2416B8D7"/>
  <w16cid:commentId w16cid:paraId="1688FA01" w16cid:durableId="2416B8D8"/>
  <w16cid:commentId w16cid:paraId="58FC60D9" w16cid:durableId="2416B8DA"/>
  <w16cid:commentId w16cid:paraId="026C12CE" w16cid:durableId="2416B8DB"/>
  <w16cid:commentId w16cid:paraId="0C22D932" w16cid:durableId="2416B8DC"/>
  <w16cid:commentId w16cid:paraId="08314DB3" w16cid:durableId="2416B8DD"/>
  <w16cid:commentId w16cid:paraId="5A7A4275" w16cid:durableId="2416B8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A5748" w14:textId="77777777" w:rsidR="00D9087F" w:rsidRDefault="00D9087F">
      <w:r>
        <w:separator/>
      </w:r>
    </w:p>
  </w:endnote>
  <w:endnote w:type="continuationSeparator" w:id="0">
    <w:p w14:paraId="79DAC006" w14:textId="77777777" w:rsidR="00D9087F" w:rsidRDefault="00D9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004941"/>
      <w:docPartObj>
        <w:docPartGallery w:val="Page Numbers (Bottom of Page)"/>
        <w:docPartUnique/>
      </w:docPartObj>
    </w:sdtPr>
    <w:sdtEndPr/>
    <w:sdtContent>
      <w:p w14:paraId="3BAAA5E1" w14:textId="088F9527" w:rsidR="00D9087F" w:rsidRDefault="00D9087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E3D">
          <w:rPr>
            <w:noProof/>
          </w:rPr>
          <w:t>5</w:t>
        </w:r>
        <w:r>
          <w:fldChar w:fldCharType="end"/>
        </w:r>
      </w:p>
    </w:sdtContent>
  </w:sdt>
  <w:p w14:paraId="1CAA7564" w14:textId="77777777" w:rsidR="00D9087F" w:rsidRDefault="00D9087F" w:rsidP="00ED336D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3562447"/>
      <w:docPartObj>
        <w:docPartGallery w:val="Page Numbers (Bottom of Page)"/>
        <w:docPartUnique/>
      </w:docPartObj>
    </w:sdtPr>
    <w:sdtEndPr/>
    <w:sdtContent>
      <w:p w14:paraId="3A1F8A52" w14:textId="2CB9B990" w:rsidR="00D9087F" w:rsidRDefault="00D9087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E3D">
          <w:rPr>
            <w:noProof/>
          </w:rPr>
          <w:t>3</w:t>
        </w:r>
        <w:r>
          <w:fldChar w:fldCharType="end"/>
        </w:r>
      </w:p>
    </w:sdtContent>
  </w:sdt>
  <w:p w14:paraId="670A44CD" w14:textId="77777777" w:rsidR="00D9087F" w:rsidRDefault="00D9087F" w:rsidP="005674D2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C2832" w14:textId="77777777" w:rsidR="00D9087F" w:rsidRDefault="00D9087F">
      <w:r>
        <w:separator/>
      </w:r>
    </w:p>
  </w:footnote>
  <w:footnote w:type="continuationSeparator" w:id="0">
    <w:p w14:paraId="3DA47D78" w14:textId="77777777" w:rsidR="00D9087F" w:rsidRDefault="00D90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F3C"/>
    <w:multiLevelType w:val="multilevel"/>
    <w:tmpl w:val="8F9A692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2160"/>
      </w:pPr>
      <w:rPr>
        <w:rFonts w:hint="default"/>
      </w:rPr>
    </w:lvl>
  </w:abstractNum>
  <w:abstractNum w:abstractNumId="1" w15:restartNumberingAfterBreak="0">
    <w:nsid w:val="13833426"/>
    <w:multiLevelType w:val="hybridMultilevel"/>
    <w:tmpl w:val="A1F4977C"/>
    <w:lvl w:ilvl="0" w:tplc="041B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49304F1"/>
    <w:multiLevelType w:val="multilevel"/>
    <w:tmpl w:val="953E010A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B413D14"/>
    <w:multiLevelType w:val="multilevel"/>
    <w:tmpl w:val="C492B97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</w:rPr>
    </w:lvl>
  </w:abstractNum>
  <w:abstractNum w:abstractNumId="4" w15:restartNumberingAfterBreak="0">
    <w:nsid w:val="1E514032"/>
    <w:multiLevelType w:val="hybridMultilevel"/>
    <w:tmpl w:val="B3EC1788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E583D2C"/>
    <w:multiLevelType w:val="multilevel"/>
    <w:tmpl w:val="22C2D3C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2392B9F"/>
    <w:multiLevelType w:val="multilevel"/>
    <w:tmpl w:val="E2F6B46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1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7D205C"/>
    <w:multiLevelType w:val="multilevel"/>
    <w:tmpl w:val="44303B5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6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</w:rPr>
    </w:lvl>
  </w:abstractNum>
  <w:abstractNum w:abstractNumId="8" w15:restartNumberingAfterBreak="0">
    <w:nsid w:val="28D70699"/>
    <w:multiLevelType w:val="multilevel"/>
    <w:tmpl w:val="8C78785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95F66B0"/>
    <w:multiLevelType w:val="multilevel"/>
    <w:tmpl w:val="AF3C287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B5F1D8A"/>
    <w:multiLevelType w:val="hybridMultilevel"/>
    <w:tmpl w:val="147E9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F5FF7"/>
    <w:multiLevelType w:val="multilevel"/>
    <w:tmpl w:val="B8B21C2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BF412C"/>
    <w:multiLevelType w:val="multilevel"/>
    <w:tmpl w:val="0AF4777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E340DA3"/>
    <w:multiLevelType w:val="hybridMultilevel"/>
    <w:tmpl w:val="DA1012B0"/>
    <w:lvl w:ilvl="0" w:tplc="5B22B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F2FE6"/>
    <w:multiLevelType w:val="multilevel"/>
    <w:tmpl w:val="9B5A36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FF66C8"/>
    <w:multiLevelType w:val="multilevel"/>
    <w:tmpl w:val="C85CFCC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42"/>
        </w:tabs>
        <w:ind w:left="104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B140F6A"/>
    <w:multiLevelType w:val="hybridMultilevel"/>
    <w:tmpl w:val="2A289F86"/>
    <w:lvl w:ilvl="0" w:tplc="6F72C4E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E7688"/>
    <w:multiLevelType w:val="hybridMultilevel"/>
    <w:tmpl w:val="5650988A"/>
    <w:lvl w:ilvl="0" w:tplc="2A649826">
      <w:start w:val="553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05FF0"/>
    <w:multiLevelType w:val="hybridMultilevel"/>
    <w:tmpl w:val="F4DC62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54BE1"/>
    <w:multiLevelType w:val="multilevel"/>
    <w:tmpl w:val="7A24334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none"/>
      <w:lvlText w:val="1.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1.5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82A0268"/>
    <w:multiLevelType w:val="hybridMultilevel"/>
    <w:tmpl w:val="FCBAFCA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556CE"/>
    <w:multiLevelType w:val="hybridMultilevel"/>
    <w:tmpl w:val="A7C01E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C7FDF"/>
    <w:multiLevelType w:val="hybridMultilevel"/>
    <w:tmpl w:val="D316885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43347"/>
    <w:multiLevelType w:val="multilevel"/>
    <w:tmpl w:val="DC564DBA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15"/>
        </w:tabs>
        <w:ind w:left="915" w:hanging="915"/>
      </w:pPr>
      <w:rPr>
        <w:rFonts w:ascii="Arial Black" w:hAnsi="Arial Black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C6E79E4"/>
    <w:multiLevelType w:val="multilevel"/>
    <w:tmpl w:val="E2F6B46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1.5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E30673A"/>
    <w:multiLevelType w:val="hybridMultilevel"/>
    <w:tmpl w:val="E9D2C45A"/>
    <w:lvl w:ilvl="0" w:tplc="E8187C94">
      <w:start w:val="1"/>
      <w:numFmt w:val="decimal"/>
      <w:pStyle w:val="Nzov"/>
      <w:lvlText w:val="%1.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210C2"/>
    <w:multiLevelType w:val="hybridMultilevel"/>
    <w:tmpl w:val="51F209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525CC"/>
    <w:multiLevelType w:val="hybridMultilevel"/>
    <w:tmpl w:val="A24CCBF0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7245FA0"/>
    <w:multiLevelType w:val="hybridMultilevel"/>
    <w:tmpl w:val="B32A0A7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E4731"/>
    <w:multiLevelType w:val="hybridMultilevel"/>
    <w:tmpl w:val="3B6AB9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92A0A"/>
    <w:multiLevelType w:val="multilevel"/>
    <w:tmpl w:val="02C469FC"/>
    <w:lvl w:ilvl="0">
      <w:start w:val="1"/>
      <w:numFmt w:val="decimal"/>
      <w:lvlText w:val="%1."/>
      <w:lvlJc w:val="left"/>
      <w:pPr>
        <w:ind w:left="930" w:hanging="930"/>
      </w:pPr>
      <w:rPr>
        <w:rFonts w:ascii="Arial Black" w:hAnsi="Arial Black" w:hint="default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ascii="Arial Black" w:hAnsi="Arial Black" w:hint="default"/>
      </w:rPr>
    </w:lvl>
    <w:lvl w:ilvl="2">
      <w:start w:val="1"/>
      <w:numFmt w:val="decimal"/>
      <w:lvlText w:val="%1.%2.%3."/>
      <w:lvlJc w:val="left"/>
      <w:pPr>
        <w:ind w:left="930" w:hanging="930"/>
      </w:pPr>
      <w:rPr>
        <w:rFonts w:ascii="Arial Black" w:hAnsi="Arial Black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Black" w:hAnsi="Arial Black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Black" w:hAnsi="Arial Black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Black" w:hAnsi="Arial Black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Black" w:hAnsi="Arial Black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Black" w:hAnsi="Arial Black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Black" w:hAnsi="Arial Black" w:hint="default"/>
      </w:rPr>
    </w:lvl>
  </w:abstractNum>
  <w:abstractNum w:abstractNumId="31" w15:restartNumberingAfterBreak="0">
    <w:nsid w:val="7D532140"/>
    <w:multiLevelType w:val="hybridMultilevel"/>
    <w:tmpl w:val="F7BEF01E"/>
    <w:lvl w:ilvl="0" w:tplc="047C703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DC3D75"/>
    <w:multiLevelType w:val="hybridMultilevel"/>
    <w:tmpl w:val="E37CBD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3"/>
  </w:num>
  <w:num w:numId="4">
    <w:abstractNumId w:val="15"/>
  </w:num>
  <w:num w:numId="5">
    <w:abstractNumId w:val="14"/>
  </w:num>
  <w:num w:numId="6">
    <w:abstractNumId w:val="30"/>
  </w:num>
  <w:num w:numId="7">
    <w:abstractNumId w:val="20"/>
  </w:num>
  <w:num w:numId="8">
    <w:abstractNumId w:val="28"/>
  </w:num>
  <w:num w:numId="9">
    <w:abstractNumId w:val="32"/>
  </w:num>
  <w:num w:numId="10">
    <w:abstractNumId w:val="27"/>
  </w:num>
  <w:num w:numId="11">
    <w:abstractNumId w:val="18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"/>
  </w:num>
  <w:num w:numId="17">
    <w:abstractNumId w:val="10"/>
  </w:num>
  <w:num w:numId="18">
    <w:abstractNumId w:val="21"/>
  </w:num>
  <w:num w:numId="19">
    <w:abstractNumId w:val="26"/>
  </w:num>
  <w:num w:numId="20">
    <w:abstractNumId w:val="22"/>
  </w:num>
  <w:num w:numId="21">
    <w:abstractNumId w:val="8"/>
  </w:num>
  <w:num w:numId="22">
    <w:abstractNumId w:val="19"/>
  </w:num>
  <w:num w:numId="23">
    <w:abstractNumId w:val="6"/>
  </w:num>
  <w:num w:numId="24">
    <w:abstractNumId w:val="24"/>
  </w:num>
  <w:num w:numId="25">
    <w:abstractNumId w:val="25"/>
  </w:num>
  <w:num w:numId="26">
    <w:abstractNumId w:val="8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5"/>
  </w:num>
  <w:num w:numId="29">
    <w:abstractNumId w:val="9"/>
  </w:num>
  <w:num w:numId="30">
    <w:abstractNumId w:val="12"/>
  </w:num>
  <w:num w:numId="31">
    <w:abstractNumId w:val="16"/>
  </w:num>
  <w:num w:numId="32">
    <w:abstractNumId w:val="29"/>
  </w:num>
  <w:num w:numId="33">
    <w:abstractNumId w:val="31"/>
  </w:num>
  <w:num w:numId="3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2C"/>
    <w:rsid w:val="00000585"/>
    <w:rsid w:val="000024F1"/>
    <w:rsid w:val="0000347F"/>
    <w:rsid w:val="000068A0"/>
    <w:rsid w:val="00007925"/>
    <w:rsid w:val="00011379"/>
    <w:rsid w:val="000129FC"/>
    <w:rsid w:val="0001402A"/>
    <w:rsid w:val="00014ABC"/>
    <w:rsid w:val="00015848"/>
    <w:rsid w:val="00016321"/>
    <w:rsid w:val="000164C3"/>
    <w:rsid w:val="00016909"/>
    <w:rsid w:val="00016C3D"/>
    <w:rsid w:val="00020661"/>
    <w:rsid w:val="00021FFD"/>
    <w:rsid w:val="00024B80"/>
    <w:rsid w:val="0002527B"/>
    <w:rsid w:val="000256E4"/>
    <w:rsid w:val="0002619A"/>
    <w:rsid w:val="00026DE3"/>
    <w:rsid w:val="00030059"/>
    <w:rsid w:val="00030645"/>
    <w:rsid w:val="00030EBA"/>
    <w:rsid w:val="000327CB"/>
    <w:rsid w:val="000328B2"/>
    <w:rsid w:val="00033847"/>
    <w:rsid w:val="0003497A"/>
    <w:rsid w:val="00035238"/>
    <w:rsid w:val="00035F11"/>
    <w:rsid w:val="00041256"/>
    <w:rsid w:val="00041D22"/>
    <w:rsid w:val="000425CE"/>
    <w:rsid w:val="00042EC2"/>
    <w:rsid w:val="00042FE8"/>
    <w:rsid w:val="000431F3"/>
    <w:rsid w:val="000432BA"/>
    <w:rsid w:val="000438E1"/>
    <w:rsid w:val="00044678"/>
    <w:rsid w:val="000447B2"/>
    <w:rsid w:val="00044855"/>
    <w:rsid w:val="000465DF"/>
    <w:rsid w:val="00046C39"/>
    <w:rsid w:val="00046CC0"/>
    <w:rsid w:val="00046DA9"/>
    <w:rsid w:val="00047815"/>
    <w:rsid w:val="00050FE8"/>
    <w:rsid w:val="00051980"/>
    <w:rsid w:val="00052B24"/>
    <w:rsid w:val="00054265"/>
    <w:rsid w:val="000557DA"/>
    <w:rsid w:val="00055B38"/>
    <w:rsid w:val="00055EDC"/>
    <w:rsid w:val="0005660B"/>
    <w:rsid w:val="00057420"/>
    <w:rsid w:val="00057DB6"/>
    <w:rsid w:val="00060113"/>
    <w:rsid w:val="0006022C"/>
    <w:rsid w:val="00060626"/>
    <w:rsid w:val="0006098D"/>
    <w:rsid w:val="0006189D"/>
    <w:rsid w:val="000631AD"/>
    <w:rsid w:val="00063CDF"/>
    <w:rsid w:val="000648D6"/>
    <w:rsid w:val="00064DCE"/>
    <w:rsid w:val="0006500C"/>
    <w:rsid w:val="00066326"/>
    <w:rsid w:val="00066373"/>
    <w:rsid w:val="00066BEB"/>
    <w:rsid w:val="00067BA6"/>
    <w:rsid w:val="00071874"/>
    <w:rsid w:val="00071F4F"/>
    <w:rsid w:val="00072399"/>
    <w:rsid w:val="0007251F"/>
    <w:rsid w:val="00073130"/>
    <w:rsid w:val="00075561"/>
    <w:rsid w:val="00075818"/>
    <w:rsid w:val="0007599A"/>
    <w:rsid w:val="0007606F"/>
    <w:rsid w:val="00077BBE"/>
    <w:rsid w:val="0008013C"/>
    <w:rsid w:val="00081BB9"/>
    <w:rsid w:val="000832A2"/>
    <w:rsid w:val="00083323"/>
    <w:rsid w:val="00083963"/>
    <w:rsid w:val="000855F3"/>
    <w:rsid w:val="000866A2"/>
    <w:rsid w:val="0009269C"/>
    <w:rsid w:val="00094013"/>
    <w:rsid w:val="00094CFE"/>
    <w:rsid w:val="00095C61"/>
    <w:rsid w:val="00096FB3"/>
    <w:rsid w:val="000A07AF"/>
    <w:rsid w:val="000A0AEB"/>
    <w:rsid w:val="000A1582"/>
    <w:rsid w:val="000A453D"/>
    <w:rsid w:val="000B0F54"/>
    <w:rsid w:val="000B2EF0"/>
    <w:rsid w:val="000B3605"/>
    <w:rsid w:val="000B3738"/>
    <w:rsid w:val="000B39AB"/>
    <w:rsid w:val="000B3D76"/>
    <w:rsid w:val="000B48DF"/>
    <w:rsid w:val="000B5CEB"/>
    <w:rsid w:val="000B5F8E"/>
    <w:rsid w:val="000B5FC3"/>
    <w:rsid w:val="000B7493"/>
    <w:rsid w:val="000C1AB1"/>
    <w:rsid w:val="000C200A"/>
    <w:rsid w:val="000C2967"/>
    <w:rsid w:val="000C5ABF"/>
    <w:rsid w:val="000C6009"/>
    <w:rsid w:val="000C6A34"/>
    <w:rsid w:val="000C7E38"/>
    <w:rsid w:val="000D05A9"/>
    <w:rsid w:val="000D2958"/>
    <w:rsid w:val="000D50E8"/>
    <w:rsid w:val="000D56E6"/>
    <w:rsid w:val="000D6437"/>
    <w:rsid w:val="000D669C"/>
    <w:rsid w:val="000E0A6B"/>
    <w:rsid w:val="000E5D81"/>
    <w:rsid w:val="000E5E9F"/>
    <w:rsid w:val="000E6D66"/>
    <w:rsid w:val="000E7539"/>
    <w:rsid w:val="000F00C1"/>
    <w:rsid w:val="000F0717"/>
    <w:rsid w:val="000F2AE5"/>
    <w:rsid w:val="000F364C"/>
    <w:rsid w:val="000F3ED8"/>
    <w:rsid w:val="000F4375"/>
    <w:rsid w:val="000F467E"/>
    <w:rsid w:val="000F728B"/>
    <w:rsid w:val="000F7620"/>
    <w:rsid w:val="00101ABE"/>
    <w:rsid w:val="001025E7"/>
    <w:rsid w:val="0010283D"/>
    <w:rsid w:val="0010348C"/>
    <w:rsid w:val="001035FD"/>
    <w:rsid w:val="001047A3"/>
    <w:rsid w:val="0010567A"/>
    <w:rsid w:val="00106D8D"/>
    <w:rsid w:val="00106F9C"/>
    <w:rsid w:val="0010763D"/>
    <w:rsid w:val="00107EBA"/>
    <w:rsid w:val="00107FE4"/>
    <w:rsid w:val="00110970"/>
    <w:rsid w:val="00110C9A"/>
    <w:rsid w:val="00111958"/>
    <w:rsid w:val="00111FD6"/>
    <w:rsid w:val="00111FFD"/>
    <w:rsid w:val="001129CD"/>
    <w:rsid w:val="001131AA"/>
    <w:rsid w:val="001148F8"/>
    <w:rsid w:val="00114CA9"/>
    <w:rsid w:val="0011516F"/>
    <w:rsid w:val="00115CFE"/>
    <w:rsid w:val="00121D95"/>
    <w:rsid w:val="00122241"/>
    <w:rsid w:val="00122419"/>
    <w:rsid w:val="00122B1F"/>
    <w:rsid w:val="00124413"/>
    <w:rsid w:val="00124C07"/>
    <w:rsid w:val="00126454"/>
    <w:rsid w:val="00126F73"/>
    <w:rsid w:val="00127A2C"/>
    <w:rsid w:val="001304DE"/>
    <w:rsid w:val="00130963"/>
    <w:rsid w:val="00131148"/>
    <w:rsid w:val="001321AE"/>
    <w:rsid w:val="001326B3"/>
    <w:rsid w:val="001330B7"/>
    <w:rsid w:val="0013358C"/>
    <w:rsid w:val="001335DD"/>
    <w:rsid w:val="0013446D"/>
    <w:rsid w:val="00134695"/>
    <w:rsid w:val="001349DA"/>
    <w:rsid w:val="00134E87"/>
    <w:rsid w:val="00135D6E"/>
    <w:rsid w:val="00137F53"/>
    <w:rsid w:val="00140888"/>
    <w:rsid w:val="00141AF9"/>
    <w:rsid w:val="00141C09"/>
    <w:rsid w:val="00141C4A"/>
    <w:rsid w:val="00141FB0"/>
    <w:rsid w:val="00142DAD"/>
    <w:rsid w:val="0014383A"/>
    <w:rsid w:val="00144543"/>
    <w:rsid w:val="00145D4E"/>
    <w:rsid w:val="001461B9"/>
    <w:rsid w:val="00146C9C"/>
    <w:rsid w:val="00147EC7"/>
    <w:rsid w:val="00150C05"/>
    <w:rsid w:val="00151F14"/>
    <w:rsid w:val="00153EEC"/>
    <w:rsid w:val="001554C5"/>
    <w:rsid w:val="0015684D"/>
    <w:rsid w:val="0015749A"/>
    <w:rsid w:val="00157B12"/>
    <w:rsid w:val="0016158F"/>
    <w:rsid w:val="00162C9B"/>
    <w:rsid w:val="00164410"/>
    <w:rsid w:val="00164AE2"/>
    <w:rsid w:val="00165C11"/>
    <w:rsid w:val="001669C6"/>
    <w:rsid w:val="001705BB"/>
    <w:rsid w:val="00172111"/>
    <w:rsid w:val="00172825"/>
    <w:rsid w:val="00173108"/>
    <w:rsid w:val="00174357"/>
    <w:rsid w:val="001757E0"/>
    <w:rsid w:val="00175DD3"/>
    <w:rsid w:val="00176193"/>
    <w:rsid w:val="001763F3"/>
    <w:rsid w:val="00177717"/>
    <w:rsid w:val="001814CD"/>
    <w:rsid w:val="001821B5"/>
    <w:rsid w:val="00183A89"/>
    <w:rsid w:val="00185E3D"/>
    <w:rsid w:val="0019220F"/>
    <w:rsid w:val="00192843"/>
    <w:rsid w:val="001930DF"/>
    <w:rsid w:val="0019545A"/>
    <w:rsid w:val="001954C4"/>
    <w:rsid w:val="0019626E"/>
    <w:rsid w:val="0019642B"/>
    <w:rsid w:val="001971C6"/>
    <w:rsid w:val="001A0D88"/>
    <w:rsid w:val="001A0E43"/>
    <w:rsid w:val="001A33A9"/>
    <w:rsid w:val="001A4712"/>
    <w:rsid w:val="001A4A8B"/>
    <w:rsid w:val="001A5B08"/>
    <w:rsid w:val="001A6B45"/>
    <w:rsid w:val="001B00C2"/>
    <w:rsid w:val="001B1A0F"/>
    <w:rsid w:val="001B368D"/>
    <w:rsid w:val="001C013F"/>
    <w:rsid w:val="001C0339"/>
    <w:rsid w:val="001C0675"/>
    <w:rsid w:val="001C11B8"/>
    <w:rsid w:val="001C1BC6"/>
    <w:rsid w:val="001C217A"/>
    <w:rsid w:val="001C2903"/>
    <w:rsid w:val="001C3AC3"/>
    <w:rsid w:val="001C3CF0"/>
    <w:rsid w:val="001C3E41"/>
    <w:rsid w:val="001C65BA"/>
    <w:rsid w:val="001C7CAA"/>
    <w:rsid w:val="001C7D4F"/>
    <w:rsid w:val="001D3053"/>
    <w:rsid w:val="001D4CC1"/>
    <w:rsid w:val="001D5D64"/>
    <w:rsid w:val="001D61C8"/>
    <w:rsid w:val="001E0101"/>
    <w:rsid w:val="001E0375"/>
    <w:rsid w:val="001E0ACE"/>
    <w:rsid w:val="001E0AE5"/>
    <w:rsid w:val="001E2B7A"/>
    <w:rsid w:val="001E31C3"/>
    <w:rsid w:val="001E3B98"/>
    <w:rsid w:val="001E42C3"/>
    <w:rsid w:val="001E4D6A"/>
    <w:rsid w:val="001E55C4"/>
    <w:rsid w:val="001E651B"/>
    <w:rsid w:val="001E7320"/>
    <w:rsid w:val="001E7C47"/>
    <w:rsid w:val="001F2854"/>
    <w:rsid w:val="001F3788"/>
    <w:rsid w:val="001F5092"/>
    <w:rsid w:val="001F7E43"/>
    <w:rsid w:val="002001A8"/>
    <w:rsid w:val="00201CE5"/>
    <w:rsid w:val="002033F5"/>
    <w:rsid w:val="0020357D"/>
    <w:rsid w:val="00203A0A"/>
    <w:rsid w:val="0020415C"/>
    <w:rsid w:val="00205A80"/>
    <w:rsid w:val="00206068"/>
    <w:rsid w:val="002068A8"/>
    <w:rsid w:val="00207F17"/>
    <w:rsid w:val="00210087"/>
    <w:rsid w:val="00210A02"/>
    <w:rsid w:val="0021102E"/>
    <w:rsid w:val="00215819"/>
    <w:rsid w:val="00215890"/>
    <w:rsid w:val="00217AA5"/>
    <w:rsid w:val="002213B4"/>
    <w:rsid w:val="0022256D"/>
    <w:rsid w:val="00222F0D"/>
    <w:rsid w:val="00222FAA"/>
    <w:rsid w:val="002235CA"/>
    <w:rsid w:val="0022634E"/>
    <w:rsid w:val="00226751"/>
    <w:rsid w:val="00227D72"/>
    <w:rsid w:val="00227EAE"/>
    <w:rsid w:val="00230FE1"/>
    <w:rsid w:val="0023120D"/>
    <w:rsid w:val="00232266"/>
    <w:rsid w:val="0023370A"/>
    <w:rsid w:val="0023400E"/>
    <w:rsid w:val="00234EB0"/>
    <w:rsid w:val="00235824"/>
    <w:rsid w:val="0024085A"/>
    <w:rsid w:val="002426EF"/>
    <w:rsid w:val="0024397E"/>
    <w:rsid w:val="0024526A"/>
    <w:rsid w:val="00245580"/>
    <w:rsid w:val="00245A88"/>
    <w:rsid w:val="00245C18"/>
    <w:rsid w:val="002460B4"/>
    <w:rsid w:val="00246814"/>
    <w:rsid w:val="00247E05"/>
    <w:rsid w:val="00250BF0"/>
    <w:rsid w:val="00251B5C"/>
    <w:rsid w:val="00251F95"/>
    <w:rsid w:val="00253340"/>
    <w:rsid w:val="0025499C"/>
    <w:rsid w:val="00254FAB"/>
    <w:rsid w:val="002555EA"/>
    <w:rsid w:val="00255F13"/>
    <w:rsid w:val="00260DC9"/>
    <w:rsid w:val="002637E8"/>
    <w:rsid w:val="002646F7"/>
    <w:rsid w:val="00264E54"/>
    <w:rsid w:val="002657FA"/>
    <w:rsid w:val="00267CA2"/>
    <w:rsid w:val="00270880"/>
    <w:rsid w:val="00271393"/>
    <w:rsid w:val="002722F9"/>
    <w:rsid w:val="00273982"/>
    <w:rsid w:val="002750B3"/>
    <w:rsid w:val="00276125"/>
    <w:rsid w:val="0028010E"/>
    <w:rsid w:val="002809FC"/>
    <w:rsid w:val="00281B72"/>
    <w:rsid w:val="00284EC5"/>
    <w:rsid w:val="00285773"/>
    <w:rsid w:val="00287484"/>
    <w:rsid w:val="00287E22"/>
    <w:rsid w:val="0029048D"/>
    <w:rsid w:val="00291923"/>
    <w:rsid w:val="00292075"/>
    <w:rsid w:val="00292311"/>
    <w:rsid w:val="0029258E"/>
    <w:rsid w:val="00292897"/>
    <w:rsid w:val="00295E63"/>
    <w:rsid w:val="0029728F"/>
    <w:rsid w:val="0029788B"/>
    <w:rsid w:val="002A116C"/>
    <w:rsid w:val="002A1402"/>
    <w:rsid w:val="002A1866"/>
    <w:rsid w:val="002A280D"/>
    <w:rsid w:val="002A3580"/>
    <w:rsid w:val="002A3637"/>
    <w:rsid w:val="002A384C"/>
    <w:rsid w:val="002A4C04"/>
    <w:rsid w:val="002B00FE"/>
    <w:rsid w:val="002B1D9A"/>
    <w:rsid w:val="002B2115"/>
    <w:rsid w:val="002B2203"/>
    <w:rsid w:val="002B24F5"/>
    <w:rsid w:val="002B27F1"/>
    <w:rsid w:val="002B556B"/>
    <w:rsid w:val="002B6ECB"/>
    <w:rsid w:val="002C01A1"/>
    <w:rsid w:val="002C0FC1"/>
    <w:rsid w:val="002C1D0D"/>
    <w:rsid w:val="002C283C"/>
    <w:rsid w:val="002C39D0"/>
    <w:rsid w:val="002C614A"/>
    <w:rsid w:val="002C651C"/>
    <w:rsid w:val="002C6D72"/>
    <w:rsid w:val="002C77B5"/>
    <w:rsid w:val="002D05C7"/>
    <w:rsid w:val="002D2515"/>
    <w:rsid w:val="002D3B80"/>
    <w:rsid w:val="002D3E29"/>
    <w:rsid w:val="002E0ABE"/>
    <w:rsid w:val="002E128D"/>
    <w:rsid w:val="002E1354"/>
    <w:rsid w:val="002E15C9"/>
    <w:rsid w:val="002E20A4"/>
    <w:rsid w:val="002E256F"/>
    <w:rsid w:val="002E262A"/>
    <w:rsid w:val="002E47F3"/>
    <w:rsid w:val="002F00D7"/>
    <w:rsid w:val="002F1874"/>
    <w:rsid w:val="002F1C77"/>
    <w:rsid w:val="002F2A79"/>
    <w:rsid w:val="002F66C7"/>
    <w:rsid w:val="002F7519"/>
    <w:rsid w:val="002F7BAB"/>
    <w:rsid w:val="003010B3"/>
    <w:rsid w:val="00301664"/>
    <w:rsid w:val="003024A2"/>
    <w:rsid w:val="0030380F"/>
    <w:rsid w:val="00304AA5"/>
    <w:rsid w:val="0030572D"/>
    <w:rsid w:val="00305AD7"/>
    <w:rsid w:val="003060BF"/>
    <w:rsid w:val="00306605"/>
    <w:rsid w:val="00306613"/>
    <w:rsid w:val="0030724F"/>
    <w:rsid w:val="00311425"/>
    <w:rsid w:val="003126A4"/>
    <w:rsid w:val="00315B3C"/>
    <w:rsid w:val="00320640"/>
    <w:rsid w:val="0032088D"/>
    <w:rsid w:val="003230B1"/>
    <w:rsid w:val="003239FF"/>
    <w:rsid w:val="003247DA"/>
    <w:rsid w:val="00325135"/>
    <w:rsid w:val="003262E2"/>
    <w:rsid w:val="00326DBC"/>
    <w:rsid w:val="003271B9"/>
    <w:rsid w:val="003303D6"/>
    <w:rsid w:val="00331051"/>
    <w:rsid w:val="00331A27"/>
    <w:rsid w:val="003321C6"/>
    <w:rsid w:val="00335553"/>
    <w:rsid w:val="00335C27"/>
    <w:rsid w:val="003375D7"/>
    <w:rsid w:val="003377A5"/>
    <w:rsid w:val="00340ECF"/>
    <w:rsid w:val="00342567"/>
    <w:rsid w:val="00342B20"/>
    <w:rsid w:val="0034417A"/>
    <w:rsid w:val="00344FB4"/>
    <w:rsid w:val="00345496"/>
    <w:rsid w:val="00345BC6"/>
    <w:rsid w:val="00350F88"/>
    <w:rsid w:val="003514C9"/>
    <w:rsid w:val="003518BC"/>
    <w:rsid w:val="0035398B"/>
    <w:rsid w:val="00356879"/>
    <w:rsid w:val="00356A21"/>
    <w:rsid w:val="00356F28"/>
    <w:rsid w:val="0035729C"/>
    <w:rsid w:val="003615CB"/>
    <w:rsid w:val="00363376"/>
    <w:rsid w:val="00363CA6"/>
    <w:rsid w:val="00366483"/>
    <w:rsid w:val="00366907"/>
    <w:rsid w:val="00367DC7"/>
    <w:rsid w:val="00367ECD"/>
    <w:rsid w:val="0037005D"/>
    <w:rsid w:val="00370880"/>
    <w:rsid w:val="00371020"/>
    <w:rsid w:val="00371150"/>
    <w:rsid w:val="00374164"/>
    <w:rsid w:val="00374B94"/>
    <w:rsid w:val="00376C60"/>
    <w:rsid w:val="003777D1"/>
    <w:rsid w:val="00377810"/>
    <w:rsid w:val="00382531"/>
    <w:rsid w:val="0038384D"/>
    <w:rsid w:val="00384154"/>
    <w:rsid w:val="00384498"/>
    <w:rsid w:val="00385CF8"/>
    <w:rsid w:val="003861B0"/>
    <w:rsid w:val="0038665B"/>
    <w:rsid w:val="00387294"/>
    <w:rsid w:val="00387B76"/>
    <w:rsid w:val="00387D64"/>
    <w:rsid w:val="00390097"/>
    <w:rsid w:val="00391DEF"/>
    <w:rsid w:val="00392191"/>
    <w:rsid w:val="00393AC0"/>
    <w:rsid w:val="00396091"/>
    <w:rsid w:val="003A0E63"/>
    <w:rsid w:val="003A10C1"/>
    <w:rsid w:val="003A2A64"/>
    <w:rsid w:val="003A3AED"/>
    <w:rsid w:val="003A3CD9"/>
    <w:rsid w:val="003B43EB"/>
    <w:rsid w:val="003B644B"/>
    <w:rsid w:val="003B6DFD"/>
    <w:rsid w:val="003B72DE"/>
    <w:rsid w:val="003B73E0"/>
    <w:rsid w:val="003B785D"/>
    <w:rsid w:val="003C19CE"/>
    <w:rsid w:val="003C1FD1"/>
    <w:rsid w:val="003C2141"/>
    <w:rsid w:val="003C34A5"/>
    <w:rsid w:val="003C4B5D"/>
    <w:rsid w:val="003C6397"/>
    <w:rsid w:val="003D047A"/>
    <w:rsid w:val="003D3041"/>
    <w:rsid w:val="003D370A"/>
    <w:rsid w:val="003D4CB0"/>
    <w:rsid w:val="003D55A9"/>
    <w:rsid w:val="003D6104"/>
    <w:rsid w:val="003D62FE"/>
    <w:rsid w:val="003D7170"/>
    <w:rsid w:val="003D7CBA"/>
    <w:rsid w:val="003E0924"/>
    <w:rsid w:val="003E17F3"/>
    <w:rsid w:val="003E2F2D"/>
    <w:rsid w:val="003E32F5"/>
    <w:rsid w:val="003E43C3"/>
    <w:rsid w:val="003E47E4"/>
    <w:rsid w:val="003F014F"/>
    <w:rsid w:val="003F1597"/>
    <w:rsid w:val="003F1629"/>
    <w:rsid w:val="003F20C6"/>
    <w:rsid w:val="003F4756"/>
    <w:rsid w:val="003F4EC4"/>
    <w:rsid w:val="003F647B"/>
    <w:rsid w:val="003F68DE"/>
    <w:rsid w:val="003F73E9"/>
    <w:rsid w:val="00401F85"/>
    <w:rsid w:val="00402E46"/>
    <w:rsid w:val="00405285"/>
    <w:rsid w:val="004078C9"/>
    <w:rsid w:val="00407AC7"/>
    <w:rsid w:val="0041137E"/>
    <w:rsid w:val="004113D0"/>
    <w:rsid w:val="00411C07"/>
    <w:rsid w:val="00412EA7"/>
    <w:rsid w:val="00417458"/>
    <w:rsid w:val="004175B9"/>
    <w:rsid w:val="0042024E"/>
    <w:rsid w:val="00420360"/>
    <w:rsid w:val="00420F78"/>
    <w:rsid w:val="00422540"/>
    <w:rsid w:val="00422F23"/>
    <w:rsid w:val="00423942"/>
    <w:rsid w:val="00424D94"/>
    <w:rsid w:val="0043043F"/>
    <w:rsid w:val="004308BE"/>
    <w:rsid w:val="004308DE"/>
    <w:rsid w:val="004311B8"/>
    <w:rsid w:val="00432169"/>
    <w:rsid w:val="00432FEE"/>
    <w:rsid w:val="00433046"/>
    <w:rsid w:val="00433894"/>
    <w:rsid w:val="004342BA"/>
    <w:rsid w:val="004354B6"/>
    <w:rsid w:val="00435E44"/>
    <w:rsid w:val="00440379"/>
    <w:rsid w:val="0044176A"/>
    <w:rsid w:val="00443ECA"/>
    <w:rsid w:val="004447CF"/>
    <w:rsid w:val="0044711A"/>
    <w:rsid w:val="00452509"/>
    <w:rsid w:val="0045328D"/>
    <w:rsid w:val="00453ED7"/>
    <w:rsid w:val="004540F0"/>
    <w:rsid w:val="00454528"/>
    <w:rsid w:val="00456618"/>
    <w:rsid w:val="0045699D"/>
    <w:rsid w:val="00456BA7"/>
    <w:rsid w:val="00456D0D"/>
    <w:rsid w:val="00457640"/>
    <w:rsid w:val="00460609"/>
    <w:rsid w:val="00460E05"/>
    <w:rsid w:val="0046206B"/>
    <w:rsid w:val="004661FB"/>
    <w:rsid w:val="00467799"/>
    <w:rsid w:val="00467E43"/>
    <w:rsid w:val="0047027D"/>
    <w:rsid w:val="00472497"/>
    <w:rsid w:val="00472879"/>
    <w:rsid w:val="004731C3"/>
    <w:rsid w:val="00473313"/>
    <w:rsid w:val="00473F00"/>
    <w:rsid w:val="00474015"/>
    <w:rsid w:val="00474AA8"/>
    <w:rsid w:val="00475581"/>
    <w:rsid w:val="00480E42"/>
    <w:rsid w:val="004817C2"/>
    <w:rsid w:val="0048396D"/>
    <w:rsid w:val="00484BFD"/>
    <w:rsid w:val="00485C50"/>
    <w:rsid w:val="00486083"/>
    <w:rsid w:val="004861B1"/>
    <w:rsid w:val="00487876"/>
    <w:rsid w:val="004902E7"/>
    <w:rsid w:val="004912A3"/>
    <w:rsid w:val="00491E31"/>
    <w:rsid w:val="004937B1"/>
    <w:rsid w:val="00493942"/>
    <w:rsid w:val="00493C5E"/>
    <w:rsid w:val="00494AF6"/>
    <w:rsid w:val="0049594A"/>
    <w:rsid w:val="00495FD2"/>
    <w:rsid w:val="0049606D"/>
    <w:rsid w:val="004964BD"/>
    <w:rsid w:val="0049663F"/>
    <w:rsid w:val="004971DE"/>
    <w:rsid w:val="004A042D"/>
    <w:rsid w:val="004A0627"/>
    <w:rsid w:val="004A0868"/>
    <w:rsid w:val="004A187D"/>
    <w:rsid w:val="004A1A98"/>
    <w:rsid w:val="004A3D69"/>
    <w:rsid w:val="004A4B8E"/>
    <w:rsid w:val="004A62D5"/>
    <w:rsid w:val="004B0891"/>
    <w:rsid w:val="004B157E"/>
    <w:rsid w:val="004B34E0"/>
    <w:rsid w:val="004B362D"/>
    <w:rsid w:val="004B3D60"/>
    <w:rsid w:val="004B520D"/>
    <w:rsid w:val="004B677C"/>
    <w:rsid w:val="004B69AC"/>
    <w:rsid w:val="004B6C1E"/>
    <w:rsid w:val="004C09B6"/>
    <w:rsid w:val="004C3BD2"/>
    <w:rsid w:val="004C5A18"/>
    <w:rsid w:val="004C5EF6"/>
    <w:rsid w:val="004C71BC"/>
    <w:rsid w:val="004C7411"/>
    <w:rsid w:val="004D4CD9"/>
    <w:rsid w:val="004D68E6"/>
    <w:rsid w:val="004D7883"/>
    <w:rsid w:val="004E0547"/>
    <w:rsid w:val="004E0AE3"/>
    <w:rsid w:val="004E2085"/>
    <w:rsid w:val="004E66BC"/>
    <w:rsid w:val="004E6918"/>
    <w:rsid w:val="004F05FD"/>
    <w:rsid w:val="004F0843"/>
    <w:rsid w:val="004F0D68"/>
    <w:rsid w:val="004F1061"/>
    <w:rsid w:val="004F19D2"/>
    <w:rsid w:val="004F1B6C"/>
    <w:rsid w:val="004F302C"/>
    <w:rsid w:val="004F352F"/>
    <w:rsid w:val="004F4435"/>
    <w:rsid w:val="004F4C4A"/>
    <w:rsid w:val="004F4D71"/>
    <w:rsid w:val="004F56A8"/>
    <w:rsid w:val="004F66C3"/>
    <w:rsid w:val="004F6FAA"/>
    <w:rsid w:val="004F793A"/>
    <w:rsid w:val="00500096"/>
    <w:rsid w:val="00504436"/>
    <w:rsid w:val="00504B7F"/>
    <w:rsid w:val="00511B1B"/>
    <w:rsid w:val="00511C66"/>
    <w:rsid w:val="00512FF7"/>
    <w:rsid w:val="0051330A"/>
    <w:rsid w:val="00513699"/>
    <w:rsid w:val="00514413"/>
    <w:rsid w:val="00515408"/>
    <w:rsid w:val="00515722"/>
    <w:rsid w:val="00516D8B"/>
    <w:rsid w:val="00522901"/>
    <w:rsid w:val="00522BB7"/>
    <w:rsid w:val="0052443B"/>
    <w:rsid w:val="00524825"/>
    <w:rsid w:val="00524C83"/>
    <w:rsid w:val="00524D8C"/>
    <w:rsid w:val="005250AC"/>
    <w:rsid w:val="00525347"/>
    <w:rsid w:val="005254E8"/>
    <w:rsid w:val="00526F8D"/>
    <w:rsid w:val="0053150A"/>
    <w:rsid w:val="00535AAD"/>
    <w:rsid w:val="0054064F"/>
    <w:rsid w:val="005406BC"/>
    <w:rsid w:val="00542D85"/>
    <w:rsid w:val="0054539C"/>
    <w:rsid w:val="00547578"/>
    <w:rsid w:val="005517DC"/>
    <w:rsid w:val="00552E6A"/>
    <w:rsid w:val="00552EA7"/>
    <w:rsid w:val="00554D55"/>
    <w:rsid w:val="00556EAA"/>
    <w:rsid w:val="00557F1C"/>
    <w:rsid w:val="00561EE1"/>
    <w:rsid w:val="005621DD"/>
    <w:rsid w:val="005625DF"/>
    <w:rsid w:val="005629B4"/>
    <w:rsid w:val="00562C9C"/>
    <w:rsid w:val="005636B0"/>
    <w:rsid w:val="00567020"/>
    <w:rsid w:val="00567455"/>
    <w:rsid w:val="005674D2"/>
    <w:rsid w:val="00567EBF"/>
    <w:rsid w:val="0057063C"/>
    <w:rsid w:val="00571B73"/>
    <w:rsid w:val="00573FEA"/>
    <w:rsid w:val="00575098"/>
    <w:rsid w:val="005751BF"/>
    <w:rsid w:val="00577856"/>
    <w:rsid w:val="00580153"/>
    <w:rsid w:val="00580B9D"/>
    <w:rsid w:val="00581601"/>
    <w:rsid w:val="0058189E"/>
    <w:rsid w:val="005836EF"/>
    <w:rsid w:val="00585701"/>
    <w:rsid w:val="0058577F"/>
    <w:rsid w:val="00586018"/>
    <w:rsid w:val="00586092"/>
    <w:rsid w:val="005863AE"/>
    <w:rsid w:val="005877EA"/>
    <w:rsid w:val="00590784"/>
    <w:rsid w:val="00591347"/>
    <w:rsid w:val="00592D28"/>
    <w:rsid w:val="005938D0"/>
    <w:rsid w:val="00595B01"/>
    <w:rsid w:val="005963CA"/>
    <w:rsid w:val="00596462"/>
    <w:rsid w:val="00596891"/>
    <w:rsid w:val="00597174"/>
    <w:rsid w:val="005978B3"/>
    <w:rsid w:val="00597B16"/>
    <w:rsid w:val="005A6195"/>
    <w:rsid w:val="005A7FE8"/>
    <w:rsid w:val="005B06A2"/>
    <w:rsid w:val="005B06B0"/>
    <w:rsid w:val="005B2769"/>
    <w:rsid w:val="005B3493"/>
    <w:rsid w:val="005B3A1B"/>
    <w:rsid w:val="005C11D8"/>
    <w:rsid w:val="005C23EA"/>
    <w:rsid w:val="005C26A1"/>
    <w:rsid w:val="005C3984"/>
    <w:rsid w:val="005C5B1A"/>
    <w:rsid w:val="005C6AD9"/>
    <w:rsid w:val="005C73A5"/>
    <w:rsid w:val="005C7FE1"/>
    <w:rsid w:val="005D136C"/>
    <w:rsid w:val="005D2D3D"/>
    <w:rsid w:val="005D4309"/>
    <w:rsid w:val="005D4B27"/>
    <w:rsid w:val="005D4BE1"/>
    <w:rsid w:val="005D604C"/>
    <w:rsid w:val="005E11E3"/>
    <w:rsid w:val="005E1854"/>
    <w:rsid w:val="005E25D3"/>
    <w:rsid w:val="005E3130"/>
    <w:rsid w:val="005E4627"/>
    <w:rsid w:val="005E66A6"/>
    <w:rsid w:val="005E6EF3"/>
    <w:rsid w:val="005E7C1D"/>
    <w:rsid w:val="005F1E58"/>
    <w:rsid w:val="005F2286"/>
    <w:rsid w:val="005F2312"/>
    <w:rsid w:val="005F2693"/>
    <w:rsid w:val="005F34C4"/>
    <w:rsid w:val="005F3AEB"/>
    <w:rsid w:val="005F64A2"/>
    <w:rsid w:val="005F7EED"/>
    <w:rsid w:val="0060322F"/>
    <w:rsid w:val="00603296"/>
    <w:rsid w:val="00604F9D"/>
    <w:rsid w:val="00606A7F"/>
    <w:rsid w:val="00606FAD"/>
    <w:rsid w:val="00611F63"/>
    <w:rsid w:val="00613E1E"/>
    <w:rsid w:val="00613FCC"/>
    <w:rsid w:val="006157D4"/>
    <w:rsid w:val="00616547"/>
    <w:rsid w:val="00620027"/>
    <w:rsid w:val="00622279"/>
    <w:rsid w:val="00623025"/>
    <w:rsid w:val="0062360E"/>
    <w:rsid w:val="006242AE"/>
    <w:rsid w:val="006279C5"/>
    <w:rsid w:val="00627C70"/>
    <w:rsid w:val="00630B8C"/>
    <w:rsid w:val="00631448"/>
    <w:rsid w:val="006317DC"/>
    <w:rsid w:val="00632474"/>
    <w:rsid w:val="0063340B"/>
    <w:rsid w:val="006347A4"/>
    <w:rsid w:val="006349CC"/>
    <w:rsid w:val="00636360"/>
    <w:rsid w:val="00636E22"/>
    <w:rsid w:val="006374EF"/>
    <w:rsid w:val="00637E4C"/>
    <w:rsid w:val="00637F7A"/>
    <w:rsid w:val="0064132D"/>
    <w:rsid w:val="0064168B"/>
    <w:rsid w:val="006445A3"/>
    <w:rsid w:val="006446EE"/>
    <w:rsid w:val="00645CBC"/>
    <w:rsid w:val="00646A8E"/>
    <w:rsid w:val="006472B3"/>
    <w:rsid w:val="00650D1A"/>
    <w:rsid w:val="006511FC"/>
    <w:rsid w:val="00652A72"/>
    <w:rsid w:val="00657DA5"/>
    <w:rsid w:val="00657E2F"/>
    <w:rsid w:val="0066042B"/>
    <w:rsid w:val="00661F7B"/>
    <w:rsid w:val="0066272D"/>
    <w:rsid w:val="00665564"/>
    <w:rsid w:val="00665E36"/>
    <w:rsid w:val="00670D63"/>
    <w:rsid w:val="00670DBE"/>
    <w:rsid w:val="0067200D"/>
    <w:rsid w:val="006723DA"/>
    <w:rsid w:val="00675820"/>
    <w:rsid w:val="00676C7C"/>
    <w:rsid w:val="006806BA"/>
    <w:rsid w:val="0068096C"/>
    <w:rsid w:val="00680CC4"/>
    <w:rsid w:val="006813EA"/>
    <w:rsid w:val="006815A4"/>
    <w:rsid w:val="00681777"/>
    <w:rsid w:val="00682EE9"/>
    <w:rsid w:val="0068338C"/>
    <w:rsid w:val="00683A21"/>
    <w:rsid w:val="0068416E"/>
    <w:rsid w:val="00684CF1"/>
    <w:rsid w:val="00685CA2"/>
    <w:rsid w:val="00685E6F"/>
    <w:rsid w:val="0068706D"/>
    <w:rsid w:val="00691A32"/>
    <w:rsid w:val="00691AA5"/>
    <w:rsid w:val="00693E98"/>
    <w:rsid w:val="00693E99"/>
    <w:rsid w:val="00693F32"/>
    <w:rsid w:val="006952CD"/>
    <w:rsid w:val="00695D3A"/>
    <w:rsid w:val="00696ABB"/>
    <w:rsid w:val="00696FDD"/>
    <w:rsid w:val="0069711F"/>
    <w:rsid w:val="006A0545"/>
    <w:rsid w:val="006A0BCA"/>
    <w:rsid w:val="006A11F3"/>
    <w:rsid w:val="006A1794"/>
    <w:rsid w:val="006A2C44"/>
    <w:rsid w:val="006A49D3"/>
    <w:rsid w:val="006A4C99"/>
    <w:rsid w:val="006A4E7A"/>
    <w:rsid w:val="006A5B12"/>
    <w:rsid w:val="006A72BB"/>
    <w:rsid w:val="006B250B"/>
    <w:rsid w:val="006B271D"/>
    <w:rsid w:val="006B3445"/>
    <w:rsid w:val="006B3D92"/>
    <w:rsid w:val="006B3DC4"/>
    <w:rsid w:val="006B4C9F"/>
    <w:rsid w:val="006B4CFA"/>
    <w:rsid w:val="006B69C8"/>
    <w:rsid w:val="006B766E"/>
    <w:rsid w:val="006B774D"/>
    <w:rsid w:val="006B79EA"/>
    <w:rsid w:val="006C07B5"/>
    <w:rsid w:val="006C16E9"/>
    <w:rsid w:val="006C221A"/>
    <w:rsid w:val="006C2A69"/>
    <w:rsid w:val="006C44AC"/>
    <w:rsid w:val="006C68E0"/>
    <w:rsid w:val="006C6D3E"/>
    <w:rsid w:val="006C6F44"/>
    <w:rsid w:val="006D0F79"/>
    <w:rsid w:val="006D2E6F"/>
    <w:rsid w:val="006D2F7E"/>
    <w:rsid w:val="006D54BF"/>
    <w:rsid w:val="006D7416"/>
    <w:rsid w:val="006E004D"/>
    <w:rsid w:val="006E4365"/>
    <w:rsid w:val="006E5D71"/>
    <w:rsid w:val="006E6691"/>
    <w:rsid w:val="006E6AAE"/>
    <w:rsid w:val="006E75F1"/>
    <w:rsid w:val="006F1203"/>
    <w:rsid w:val="006F20B8"/>
    <w:rsid w:val="006F2357"/>
    <w:rsid w:val="006F2494"/>
    <w:rsid w:val="006F2626"/>
    <w:rsid w:val="006F3422"/>
    <w:rsid w:val="006F45F3"/>
    <w:rsid w:val="006F5584"/>
    <w:rsid w:val="006F64E1"/>
    <w:rsid w:val="006F652E"/>
    <w:rsid w:val="00700FFF"/>
    <w:rsid w:val="007014BE"/>
    <w:rsid w:val="00701E29"/>
    <w:rsid w:val="00703D63"/>
    <w:rsid w:val="007042B9"/>
    <w:rsid w:val="00704E07"/>
    <w:rsid w:val="00704F53"/>
    <w:rsid w:val="00705321"/>
    <w:rsid w:val="00705B5B"/>
    <w:rsid w:val="0070621D"/>
    <w:rsid w:val="0070741A"/>
    <w:rsid w:val="00707518"/>
    <w:rsid w:val="007101DD"/>
    <w:rsid w:val="00710B95"/>
    <w:rsid w:val="00710EFF"/>
    <w:rsid w:val="00710FC1"/>
    <w:rsid w:val="0071156D"/>
    <w:rsid w:val="00713358"/>
    <w:rsid w:val="0071387F"/>
    <w:rsid w:val="007158A0"/>
    <w:rsid w:val="00715D96"/>
    <w:rsid w:val="00716391"/>
    <w:rsid w:val="007176F6"/>
    <w:rsid w:val="007217D8"/>
    <w:rsid w:val="00722D7F"/>
    <w:rsid w:val="00724512"/>
    <w:rsid w:val="00724CCD"/>
    <w:rsid w:val="00725B89"/>
    <w:rsid w:val="00725DFB"/>
    <w:rsid w:val="00725F62"/>
    <w:rsid w:val="007268D7"/>
    <w:rsid w:val="00726E77"/>
    <w:rsid w:val="00726F9D"/>
    <w:rsid w:val="00730BA7"/>
    <w:rsid w:val="00732A96"/>
    <w:rsid w:val="0073471E"/>
    <w:rsid w:val="007353E3"/>
    <w:rsid w:val="00735CEE"/>
    <w:rsid w:val="007366A6"/>
    <w:rsid w:val="00736922"/>
    <w:rsid w:val="00737128"/>
    <w:rsid w:val="0073795D"/>
    <w:rsid w:val="00740BE4"/>
    <w:rsid w:val="0074115C"/>
    <w:rsid w:val="00742EB3"/>
    <w:rsid w:val="00743E2E"/>
    <w:rsid w:val="00744E03"/>
    <w:rsid w:val="0074571B"/>
    <w:rsid w:val="00746984"/>
    <w:rsid w:val="00746D25"/>
    <w:rsid w:val="00747C36"/>
    <w:rsid w:val="00750BCF"/>
    <w:rsid w:val="00752F2C"/>
    <w:rsid w:val="00754718"/>
    <w:rsid w:val="007548DA"/>
    <w:rsid w:val="00755350"/>
    <w:rsid w:val="0075684F"/>
    <w:rsid w:val="0075737F"/>
    <w:rsid w:val="00760754"/>
    <w:rsid w:val="00761241"/>
    <w:rsid w:val="00761282"/>
    <w:rsid w:val="007625AE"/>
    <w:rsid w:val="007629E7"/>
    <w:rsid w:val="0076422D"/>
    <w:rsid w:val="00764428"/>
    <w:rsid w:val="007645C5"/>
    <w:rsid w:val="00765941"/>
    <w:rsid w:val="0076735F"/>
    <w:rsid w:val="007679CE"/>
    <w:rsid w:val="00767C25"/>
    <w:rsid w:val="00767EED"/>
    <w:rsid w:val="007727E8"/>
    <w:rsid w:val="007729D5"/>
    <w:rsid w:val="00772DAE"/>
    <w:rsid w:val="007749C4"/>
    <w:rsid w:val="00776011"/>
    <w:rsid w:val="0077704B"/>
    <w:rsid w:val="00781845"/>
    <w:rsid w:val="00781AC6"/>
    <w:rsid w:val="00781F46"/>
    <w:rsid w:val="00787BAF"/>
    <w:rsid w:val="00790EA3"/>
    <w:rsid w:val="0079136E"/>
    <w:rsid w:val="00792DDE"/>
    <w:rsid w:val="00794F58"/>
    <w:rsid w:val="00795A70"/>
    <w:rsid w:val="007977CE"/>
    <w:rsid w:val="007A0BB5"/>
    <w:rsid w:val="007A0CEF"/>
    <w:rsid w:val="007A32B7"/>
    <w:rsid w:val="007A3856"/>
    <w:rsid w:val="007A42C3"/>
    <w:rsid w:val="007B0708"/>
    <w:rsid w:val="007B0DBC"/>
    <w:rsid w:val="007B107B"/>
    <w:rsid w:val="007B146B"/>
    <w:rsid w:val="007B1DC1"/>
    <w:rsid w:val="007B2ED8"/>
    <w:rsid w:val="007B4578"/>
    <w:rsid w:val="007B57E9"/>
    <w:rsid w:val="007B690C"/>
    <w:rsid w:val="007B71A5"/>
    <w:rsid w:val="007C07F9"/>
    <w:rsid w:val="007C114A"/>
    <w:rsid w:val="007C1351"/>
    <w:rsid w:val="007C1A2C"/>
    <w:rsid w:val="007C2222"/>
    <w:rsid w:val="007C3035"/>
    <w:rsid w:val="007C54A0"/>
    <w:rsid w:val="007C6D3F"/>
    <w:rsid w:val="007C7225"/>
    <w:rsid w:val="007D00F0"/>
    <w:rsid w:val="007D2C93"/>
    <w:rsid w:val="007D3053"/>
    <w:rsid w:val="007D4A48"/>
    <w:rsid w:val="007D5E2C"/>
    <w:rsid w:val="007D7519"/>
    <w:rsid w:val="007E0F11"/>
    <w:rsid w:val="007E130A"/>
    <w:rsid w:val="007E22DA"/>
    <w:rsid w:val="007E26F8"/>
    <w:rsid w:val="007E2BA7"/>
    <w:rsid w:val="007E742A"/>
    <w:rsid w:val="007E7688"/>
    <w:rsid w:val="007E789E"/>
    <w:rsid w:val="007F22D8"/>
    <w:rsid w:val="007F2C10"/>
    <w:rsid w:val="007F2F71"/>
    <w:rsid w:val="007F384B"/>
    <w:rsid w:val="007F5C1D"/>
    <w:rsid w:val="007F60FE"/>
    <w:rsid w:val="007F6E6F"/>
    <w:rsid w:val="007F723E"/>
    <w:rsid w:val="00800F1F"/>
    <w:rsid w:val="00801D59"/>
    <w:rsid w:val="00802FF3"/>
    <w:rsid w:val="008032B3"/>
    <w:rsid w:val="0080336E"/>
    <w:rsid w:val="008051EB"/>
    <w:rsid w:val="008056EF"/>
    <w:rsid w:val="00805941"/>
    <w:rsid w:val="00805D65"/>
    <w:rsid w:val="0080662C"/>
    <w:rsid w:val="008074F7"/>
    <w:rsid w:val="0081154B"/>
    <w:rsid w:val="0081371B"/>
    <w:rsid w:val="00813C14"/>
    <w:rsid w:val="0081594E"/>
    <w:rsid w:val="008159FD"/>
    <w:rsid w:val="00815CB6"/>
    <w:rsid w:val="00816573"/>
    <w:rsid w:val="008207D8"/>
    <w:rsid w:val="00820A1F"/>
    <w:rsid w:val="00820BA0"/>
    <w:rsid w:val="0082142C"/>
    <w:rsid w:val="00821C4C"/>
    <w:rsid w:val="00822339"/>
    <w:rsid w:val="00824B61"/>
    <w:rsid w:val="008254C9"/>
    <w:rsid w:val="008261C4"/>
    <w:rsid w:val="0082624B"/>
    <w:rsid w:val="008265D2"/>
    <w:rsid w:val="00826D88"/>
    <w:rsid w:val="008306F3"/>
    <w:rsid w:val="008321B8"/>
    <w:rsid w:val="00832CF2"/>
    <w:rsid w:val="00832FC2"/>
    <w:rsid w:val="00833D5A"/>
    <w:rsid w:val="00835A7C"/>
    <w:rsid w:val="008376B9"/>
    <w:rsid w:val="008415C4"/>
    <w:rsid w:val="00841F46"/>
    <w:rsid w:val="00842624"/>
    <w:rsid w:val="008427C6"/>
    <w:rsid w:val="008434EE"/>
    <w:rsid w:val="00844DE7"/>
    <w:rsid w:val="00845181"/>
    <w:rsid w:val="00845277"/>
    <w:rsid w:val="00845B00"/>
    <w:rsid w:val="008470A3"/>
    <w:rsid w:val="00847E1D"/>
    <w:rsid w:val="008508CB"/>
    <w:rsid w:val="0085360F"/>
    <w:rsid w:val="0085405C"/>
    <w:rsid w:val="00855B6D"/>
    <w:rsid w:val="00856638"/>
    <w:rsid w:val="00857560"/>
    <w:rsid w:val="00860F03"/>
    <w:rsid w:val="0086107C"/>
    <w:rsid w:val="008610BA"/>
    <w:rsid w:val="008611E9"/>
    <w:rsid w:val="00863237"/>
    <w:rsid w:val="00864813"/>
    <w:rsid w:val="0086526C"/>
    <w:rsid w:val="008652A3"/>
    <w:rsid w:val="00866F68"/>
    <w:rsid w:val="008670F3"/>
    <w:rsid w:val="00867427"/>
    <w:rsid w:val="0087030A"/>
    <w:rsid w:val="008706FA"/>
    <w:rsid w:val="008718AC"/>
    <w:rsid w:val="0087222F"/>
    <w:rsid w:val="00872804"/>
    <w:rsid w:val="0087292E"/>
    <w:rsid w:val="00873D54"/>
    <w:rsid w:val="008743FC"/>
    <w:rsid w:val="00874698"/>
    <w:rsid w:val="0087596A"/>
    <w:rsid w:val="00876019"/>
    <w:rsid w:val="008773E9"/>
    <w:rsid w:val="00881C4E"/>
    <w:rsid w:val="00881DE3"/>
    <w:rsid w:val="00882B14"/>
    <w:rsid w:val="008833F7"/>
    <w:rsid w:val="00885055"/>
    <w:rsid w:val="00885D92"/>
    <w:rsid w:val="00890128"/>
    <w:rsid w:val="008901E7"/>
    <w:rsid w:val="00890D25"/>
    <w:rsid w:val="0089231F"/>
    <w:rsid w:val="00893562"/>
    <w:rsid w:val="00893C02"/>
    <w:rsid w:val="00894CF9"/>
    <w:rsid w:val="008A04B7"/>
    <w:rsid w:val="008A1211"/>
    <w:rsid w:val="008A164F"/>
    <w:rsid w:val="008A1F6D"/>
    <w:rsid w:val="008A676C"/>
    <w:rsid w:val="008A7725"/>
    <w:rsid w:val="008A79F3"/>
    <w:rsid w:val="008A7DA7"/>
    <w:rsid w:val="008B0C34"/>
    <w:rsid w:val="008B338F"/>
    <w:rsid w:val="008B451B"/>
    <w:rsid w:val="008B5B14"/>
    <w:rsid w:val="008B5ED6"/>
    <w:rsid w:val="008C4BF3"/>
    <w:rsid w:val="008C6EE7"/>
    <w:rsid w:val="008D011B"/>
    <w:rsid w:val="008D070E"/>
    <w:rsid w:val="008D2659"/>
    <w:rsid w:val="008D267B"/>
    <w:rsid w:val="008D2777"/>
    <w:rsid w:val="008D3612"/>
    <w:rsid w:val="008D36DD"/>
    <w:rsid w:val="008D3BD6"/>
    <w:rsid w:val="008D509D"/>
    <w:rsid w:val="008D5298"/>
    <w:rsid w:val="008D68D6"/>
    <w:rsid w:val="008D7D6D"/>
    <w:rsid w:val="008E1E06"/>
    <w:rsid w:val="008E1ECD"/>
    <w:rsid w:val="008E2365"/>
    <w:rsid w:val="008E3995"/>
    <w:rsid w:val="008E3B12"/>
    <w:rsid w:val="008E4B12"/>
    <w:rsid w:val="008E5A6C"/>
    <w:rsid w:val="008E6FBB"/>
    <w:rsid w:val="008E7EF5"/>
    <w:rsid w:val="008F5D56"/>
    <w:rsid w:val="008F6639"/>
    <w:rsid w:val="008F6747"/>
    <w:rsid w:val="008F7E5E"/>
    <w:rsid w:val="00900177"/>
    <w:rsid w:val="00900596"/>
    <w:rsid w:val="009027F4"/>
    <w:rsid w:val="00902B57"/>
    <w:rsid w:val="00902C8D"/>
    <w:rsid w:val="00903257"/>
    <w:rsid w:val="00910106"/>
    <w:rsid w:val="00910AB6"/>
    <w:rsid w:val="00911DF3"/>
    <w:rsid w:val="00912C93"/>
    <w:rsid w:val="00912D8C"/>
    <w:rsid w:val="0091651A"/>
    <w:rsid w:val="0091742D"/>
    <w:rsid w:val="0091760A"/>
    <w:rsid w:val="00921D40"/>
    <w:rsid w:val="00921D9D"/>
    <w:rsid w:val="00922A53"/>
    <w:rsid w:val="00924716"/>
    <w:rsid w:val="0092747D"/>
    <w:rsid w:val="0092776D"/>
    <w:rsid w:val="0093013D"/>
    <w:rsid w:val="00932A9C"/>
    <w:rsid w:val="00932B4F"/>
    <w:rsid w:val="00932EC7"/>
    <w:rsid w:val="009346D0"/>
    <w:rsid w:val="00934702"/>
    <w:rsid w:val="00934CE4"/>
    <w:rsid w:val="0093593C"/>
    <w:rsid w:val="009366DC"/>
    <w:rsid w:val="00937283"/>
    <w:rsid w:val="00937B8C"/>
    <w:rsid w:val="00941095"/>
    <w:rsid w:val="009410F1"/>
    <w:rsid w:val="00943699"/>
    <w:rsid w:val="0094398E"/>
    <w:rsid w:val="009466A5"/>
    <w:rsid w:val="00946D37"/>
    <w:rsid w:val="009507C6"/>
    <w:rsid w:val="00951815"/>
    <w:rsid w:val="0095194B"/>
    <w:rsid w:val="009548D5"/>
    <w:rsid w:val="00954D11"/>
    <w:rsid w:val="009552E7"/>
    <w:rsid w:val="00955B0F"/>
    <w:rsid w:val="009560E7"/>
    <w:rsid w:val="00956FCE"/>
    <w:rsid w:val="009572A3"/>
    <w:rsid w:val="0096037C"/>
    <w:rsid w:val="0096111C"/>
    <w:rsid w:val="009626DD"/>
    <w:rsid w:val="0096643B"/>
    <w:rsid w:val="00966AC2"/>
    <w:rsid w:val="00971099"/>
    <w:rsid w:val="00971A7F"/>
    <w:rsid w:val="00971C76"/>
    <w:rsid w:val="00972908"/>
    <w:rsid w:val="009730A7"/>
    <w:rsid w:val="00973612"/>
    <w:rsid w:val="00973864"/>
    <w:rsid w:val="00976788"/>
    <w:rsid w:val="00977BEF"/>
    <w:rsid w:val="00977EF6"/>
    <w:rsid w:val="00981920"/>
    <w:rsid w:val="00983026"/>
    <w:rsid w:val="00984CE1"/>
    <w:rsid w:val="00984EF7"/>
    <w:rsid w:val="00985777"/>
    <w:rsid w:val="0098597F"/>
    <w:rsid w:val="00985D13"/>
    <w:rsid w:val="00986196"/>
    <w:rsid w:val="00986834"/>
    <w:rsid w:val="00986F31"/>
    <w:rsid w:val="00991A2B"/>
    <w:rsid w:val="00992B41"/>
    <w:rsid w:val="00993112"/>
    <w:rsid w:val="00993859"/>
    <w:rsid w:val="00993D6B"/>
    <w:rsid w:val="00995980"/>
    <w:rsid w:val="00997574"/>
    <w:rsid w:val="00997A20"/>
    <w:rsid w:val="00997B8E"/>
    <w:rsid w:val="009A0123"/>
    <w:rsid w:val="009A1DFF"/>
    <w:rsid w:val="009A2B70"/>
    <w:rsid w:val="009A2CBB"/>
    <w:rsid w:val="009A3D61"/>
    <w:rsid w:val="009A50FE"/>
    <w:rsid w:val="009A59E7"/>
    <w:rsid w:val="009A7350"/>
    <w:rsid w:val="009A74DD"/>
    <w:rsid w:val="009A78DB"/>
    <w:rsid w:val="009B2120"/>
    <w:rsid w:val="009B23E4"/>
    <w:rsid w:val="009B2A86"/>
    <w:rsid w:val="009B2BBA"/>
    <w:rsid w:val="009B30A3"/>
    <w:rsid w:val="009B76E7"/>
    <w:rsid w:val="009B7D98"/>
    <w:rsid w:val="009C00CA"/>
    <w:rsid w:val="009C07A0"/>
    <w:rsid w:val="009C34D8"/>
    <w:rsid w:val="009C357B"/>
    <w:rsid w:val="009C39C0"/>
    <w:rsid w:val="009C3C35"/>
    <w:rsid w:val="009C6CA4"/>
    <w:rsid w:val="009C722E"/>
    <w:rsid w:val="009D1B71"/>
    <w:rsid w:val="009D1EE8"/>
    <w:rsid w:val="009D2451"/>
    <w:rsid w:val="009D2AAD"/>
    <w:rsid w:val="009D377E"/>
    <w:rsid w:val="009D3C89"/>
    <w:rsid w:val="009D3F03"/>
    <w:rsid w:val="009D4AF8"/>
    <w:rsid w:val="009D6CB1"/>
    <w:rsid w:val="009D6E69"/>
    <w:rsid w:val="009D7658"/>
    <w:rsid w:val="009D7B0D"/>
    <w:rsid w:val="009D7ECE"/>
    <w:rsid w:val="009E07CF"/>
    <w:rsid w:val="009E1254"/>
    <w:rsid w:val="009E22BC"/>
    <w:rsid w:val="009E285A"/>
    <w:rsid w:val="009E3693"/>
    <w:rsid w:val="009E68D0"/>
    <w:rsid w:val="009E71C3"/>
    <w:rsid w:val="009F00CE"/>
    <w:rsid w:val="009F286C"/>
    <w:rsid w:val="009F51D4"/>
    <w:rsid w:val="009F5778"/>
    <w:rsid w:val="009F5958"/>
    <w:rsid w:val="009F6B0B"/>
    <w:rsid w:val="00A012E2"/>
    <w:rsid w:val="00A015BF"/>
    <w:rsid w:val="00A0591E"/>
    <w:rsid w:val="00A0598F"/>
    <w:rsid w:val="00A05FA7"/>
    <w:rsid w:val="00A070D8"/>
    <w:rsid w:val="00A07CBA"/>
    <w:rsid w:val="00A1265E"/>
    <w:rsid w:val="00A12905"/>
    <w:rsid w:val="00A13AAF"/>
    <w:rsid w:val="00A15907"/>
    <w:rsid w:val="00A169B5"/>
    <w:rsid w:val="00A16C56"/>
    <w:rsid w:val="00A17610"/>
    <w:rsid w:val="00A20498"/>
    <w:rsid w:val="00A21179"/>
    <w:rsid w:val="00A21948"/>
    <w:rsid w:val="00A23C32"/>
    <w:rsid w:val="00A26445"/>
    <w:rsid w:val="00A3168A"/>
    <w:rsid w:val="00A31B61"/>
    <w:rsid w:val="00A320DE"/>
    <w:rsid w:val="00A321B5"/>
    <w:rsid w:val="00A33396"/>
    <w:rsid w:val="00A333D4"/>
    <w:rsid w:val="00A33C49"/>
    <w:rsid w:val="00A363B4"/>
    <w:rsid w:val="00A37265"/>
    <w:rsid w:val="00A375C7"/>
    <w:rsid w:val="00A411CF"/>
    <w:rsid w:val="00A41B9D"/>
    <w:rsid w:val="00A43B87"/>
    <w:rsid w:val="00A43C54"/>
    <w:rsid w:val="00A445F2"/>
    <w:rsid w:val="00A470B3"/>
    <w:rsid w:val="00A5062D"/>
    <w:rsid w:val="00A52CFC"/>
    <w:rsid w:val="00A532B5"/>
    <w:rsid w:val="00A5479D"/>
    <w:rsid w:val="00A564F4"/>
    <w:rsid w:val="00A577C0"/>
    <w:rsid w:val="00A57CD0"/>
    <w:rsid w:val="00A57EEE"/>
    <w:rsid w:val="00A607BB"/>
    <w:rsid w:val="00A61B4C"/>
    <w:rsid w:val="00A62735"/>
    <w:rsid w:val="00A62B9A"/>
    <w:rsid w:val="00A63FA6"/>
    <w:rsid w:val="00A64481"/>
    <w:rsid w:val="00A64F19"/>
    <w:rsid w:val="00A676D3"/>
    <w:rsid w:val="00A7048F"/>
    <w:rsid w:val="00A706B1"/>
    <w:rsid w:val="00A70A7B"/>
    <w:rsid w:val="00A71FD6"/>
    <w:rsid w:val="00A72170"/>
    <w:rsid w:val="00A722D2"/>
    <w:rsid w:val="00A730DC"/>
    <w:rsid w:val="00A7340A"/>
    <w:rsid w:val="00A73B1D"/>
    <w:rsid w:val="00A73B27"/>
    <w:rsid w:val="00A745FA"/>
    <w:rsid w:val="00A75FA4"/>
    <w:rsid w:val="00A7658E"/>
    <w:rsid w:val="00A76C71"/>
    <w:rsid w:val="00A80526"/>
    <w:rsid w:val="00A80B12"/>
    <w:rsid w:val="00A817A0"/>
    <w:rsid w:val="00A81ABE"/>
    <w:rsid w:val="00A81F1E"/>
    <w:rsid w:val="00A825D8"/>
    <w:rsid w:val="00A862BE"/>
    <w:rsid w:val="00A86472"/>
    <w:rsid w:val="00A87B93"/>
    <w:rsid w:val="00A908DB"/>
    <w:rsid w:val="00A90DFE"/>
    <w:rsid w:val="00A9167B"/>
    <w:rsid w:val="00A92AFE"/>
    <w:rsid w:val="00A93253"/>
    <w:rsid w:val="00A941A4"/>
    <w:rsid w:val="00A95AA2"/>
    <w:rsid w:val="00AA02B8"/>
    <w:rsid w:val="00AA08B6"/>
    <w:rsid w:val="00AA16E4"/>
    <w:rsid w:val="00AA1803"/>
    <w:rsid w:val="00AA30E5"/>
    <w:rsid w:val="00AA46E8"/>
    <w:rsid w:val="00AA61C4"/>
    <w:rsid w:val="00AB01DF"/>
    <w:rsid w:val="00AB1AD7"/>
    <w:rsid w:val="00AB39AA"/>
    <w:rsid w:val="00AB50BA"/>
    <w:rsid w:val="00AB5195"/>
    <w:rsid w:val="00AB5CAB"/>
    <w:rsid w:val="00AB5E1E"/>
    <w:rsid w:val="00AB79E4"/>
    <w:rsid w:val="00AC10F2"/>
    <w:rsid w:val="00AC1F77"/>
    <w:rsid w:val="00AC2469"/>
    <w:rsid w:val="00AC299F"/>
    <w:rsid w:val="00AC2B1C"/>
    <w:rsid w:val="00AC2FB4"/>
    <w:rsid w:val="00AC43FA"/>
    <w:rsid w:val="00AC5CC4"/>
    <w:rsid w:val="00AC6545"/>
    <w:rsid w:val="00AC6F0A"/>
    <w:rsid w:val="00AC79FB"/>
    <w:rsid w:val="00AD01E7"/>
    <w:rsid w:val="00AD0BB9"/>
    <w:rsid w:val="00AD46B2"/>
    <w:rsid w:val="00AD5B9F"/>
    <w:rsid w:val="00AD6282"/>
    <w:rsid w:val="00AD663B"/>
    <w:rsid w:val="00AD6CF1"/>
    <w:rsid w:val="00AD7D79"/>
    <w:rsid w:val="00AE02B3"/>
    <w:rsid w:val="00AE0A81"/>
    <w:rsid w:val="00AE1320"/>
    <w:rsid w:val="00AE18D4"/>
    <w:rsid w:val="00AE2446"/>
    <w:rsid w:val="00AE64AD"/>
    <w:rsid w:val="00AE7928"/>
    <w:rsid w:val="00AF0440"/>
    <w:rsid w:val="00AF115D"/>
    <w:rsid w:val="00AF17E3"/>
    <w:rsid w:val="00AF254E"/>
    <w:rsid w:val="00AF26B1"/>
    <w:rsid w:val="00AF28AA"/>
    <w:rsid w:val="00AF3D6A"/>
    <w:rsid w:val="00AF5017"/>
    <w:rsid w:val="00AF695F"/>
    <w:rsid w:val="00AF6CE9"/>
    <w:rsid w:val="00AF7C96"/>
    <w:rsid w:val="00B0098E"/>
    <w:rsid w:val="00B01D96"/>
    <w:rsid w:val="00B02338"/>
    <w:rsid w:val="00B05361"/>
    <w:rsid w:val="00B05ACB"/>
    <w:rsid w:val="00B05C8E"/>
    <w:rsid w:val="00B05F89"/>
    <w:rsid w:val="00B06686"/>
    <w:rsid w:val="00B0703C"/>
    <w:rsid w:val="00B07C6C"/>
    <w:rsid w:val="00B10E60"/>
    <w:rsid w:val="00B11FB8"/>
    <w:rsid w:val="00B12B68"/>
    <w:rsid w:val="00B14878"/>
    <w:rsid w:val="00B15A46"/>
    <w:rsid w:val="00B15B35"/>
    <w:rsid w:val="00B20C9D"/>
    <w:rsid w:val="00B21C3B"/>
    <w:rsid w:val="00B22438"/>
    <w:rsid w:val="00B22F0C"/>
    <w:rsid w:val="00B23591"/>
    <w:rsid w:val="00B245AE"/>
    <w:rsid w:val="00B25D01"/>
    <w:rsid w:val="00B25EF9"/>
    <w:rsid w:val="00B267CC"/>
    <w:rsid w:val="00B27CBB"/>
    <w:rsid w:val="00B3091D"/>
    <w:rsid w:val="00B321FF"/>
    <w:rsid w:val="00B3468C"/>
    <w:rsid w:val="00B34950"/>
    <w:rsid w:val="00B37E6D"/>
    <w:rsid w:val="00B442F2"/>
    <w:rsid w:val="00B4489A"/>
    <w:rsid w:val="00B46E3D"/>
    <w:rsid w:val="00B47AF9"/>
    <w:rsid w:val="00B47BEF"/>
    <w:rsid w:val="00B50016"/>
    <w:rsid w:val="00B5238A"/>
    <w:rsid w:val="00B54CCC"/>
    <w:rsid w:val="00B54ECD"/>
    <w:rsid w:val="00B551E9"/>
    <w:rsid w:val="00B5688E"/>
    <w:rsid w:val="00B56ABD"/>
    <w:rsid w:val="00B572A7"/>
    <w:rsid w:val="00B57B3B"/>
    <w:rsid w:val="00B60951"/>
    <w:rsid w:val="00B60E91"/>
    <w:rsid w:val="00B631CA"/>
    <w:rsid w:val="00B65092"/>
    <w:rsid w:val="00B65DF1"/>
    <w:rsid w:val="00B6655D"/>
    <w:rsid w:val="00B7100F"/>
    <w:rsid w:val="00B728E5"/>
    <w:rsid w:val="00B7313F"/>
    <w:rsid w:val="00B74D63"/>
    <w:rsid w:val="00B74FEC"/>
    <w:rsid w:val="00B75E58"/>
    <w:rsid w:val="00B76093"/>
    <w:rsid w:val="00B76A09"/>
    <w:rsid w:val="00B8158C"/>
    <w:rsid w:val="00B8396F"/>
    <w:rsid w:val="00B85974"/>
    <w:rsid w:val="00B8687C"/>
    <w:rsid w:val="00B87123"/>
    <w:rsid w:val="00B92858"/>
    <w:rsid w:val="00B92C27"/>
    <w:rsid w:val="00B92E56"/>
    <w:rsid w:val="00B937EF"/>
    <w:rsid w:val="00B93ADE"/>
    <w:rsid w:val="00B93FAE"/>
    <w:rsid w:val="00B9571E"/>
    <w:rsid w:val="00B96313"/>
    <w:rsid w:val="00B969E1"/>
    <w:rsid w:val="00B96DC7"/>
    <w:rsid w:val="00BA12A4"/>
    <w:rsid w:val="00BA27B5"/>
    <w:rsid w:val="00BA4DE3"/>
    <w:rsid w:val="00BA62B3"/>
    <w:rsid w:val="00BA7690"/>
    <w:rsid w:val="00BB09DA"/>
    <w:rsid w:val="00BB24A8"/>
    <w:rsid w:val="00BB41E5"/>
    <w:rsid w:val="00BB478E"/>
    <w:rsid w:val="00BB646C"/>
    <w:rsid w:val="00BB678A"/>
    <w:rsid w:val="00BB6AA6"/>
    <w:rsid w:val="00BB7E1A"/>
    <w:rsid w:val="00BC0696"/>
    <w:rsid w:val="00BC3D02"/>
    <w:rsid w:val="00BC3D1C"/>
    <w:rsid w:val="00BC5767"/>
    <w:rsid w:val="00BC6898"/>
    <w:rsid w:val="00BC6959"/>
    <w:rsid w:val="00BC6C75"/>
    <w:rsid w:val="00BC7D47"/>
    <w:rsid w:val="00BD026C"/>
    <w:rsid w:val="00BD0AAB"/>
    <w:rsid w:val="00BD10EF"/>
    <w:rsid w:val="00BD1AE9"/>
    <w:rsid w:val="00BD1E3C"/>
    <w:rsid w:val="00BD1ED0"/>
    <w:rsid w:val="00BD485F"/>
    <w:rsid w:val="00BD5479"/>
    <w:rsid w:val="00BD6391"/>
    <w:rsid w:val="00BD64C5"/>
    <w:rsid w:val="00BD6693"/>
    <w:rsid w:val="00BE08D6"/>
    <w:rsid w:val="00BE283F"/>
    <w:rsid w:val="00BE2C7A"/>
    <w:rsid w:val="00BE3E37"/>
    <w:rsid w:val="00BE4A0B"/>
    <w:rsid w:val="00BE53DA"/>
    <w:rsid w:val="00BE5D03"/>
    <w:rsid w:val="00BE7A7A"/>
    <w:rsid w:val="00BF0552"/>
    <w:rsid w:val="00BF4FA5"/>
    <w:rsid w:val="00BF65F7"/>
    <w:rsid w:val="00BF7B6B"/>
    <w:rsid w:val="00C011B5"/>
    <w:rsid w:val="00C01B88"/>
    <w:rsid w:val="00C01F10"/>
    <w:rsid w:val="00C0545A"/>
    <w:rsid w:val="00C07423"/>
    <w:rsid w:val="00C11BE6"/>
    <w:rsid w:val="00C129FC"/>
    <w:rsid w:val="00C13AAB"/>
    <w:rsid w:val="00C13AE2"/>
    <w:rsid w:val="00C1443A"/>
    <w:rsid w:val="00C14600"/>
    <w:rsid w:val="00C1475C"/>
    <w:rsid w:val="00C15119"/>
    <w:rsid w:val="00C21F0A"/>
    <w:rsid w:val="00C21FB9"/>
    <w:rsid w:val="00C224C3"/>
    <w:rsid w:val="00C272E4"/>
    <w:rsid w:val="00C324DD"/>
    <w:rsid w:val="00C35679"/>
    <w:rsid w:val="00C36C66"/>
    <w:rsid w:val="00C407BF"/>
    <w:rsid w:val="00C41AE6"/>
    <w:rsid w:val="00C43A6F"/>
    <w:rsid w:val="00C47372"/>
    <w:rsid w:val="00C47DE1"/>
    <w:rsid w:val="00C50BEB"/>
    <w:rsid w:val="00C52104"/>
    <w:rsid w:val="00C553B5"/>
    <w:rsid w:val="00C55A1D"/>
    <w:rsid w:val="00C5604A"/>
    <w:rsid w:val="00C56DA2"/>
    <w:rsid w:val="00C61DDC"/>
    <w:rsid w:val="00C638E0"/>
    <w:rsid w:val="00C63D2F"/>
    <w:rsid w:val="00C664C2"/>
    <w:rsid w:val="00C666F3"/>
    <w:rsid w:val="00C7023D"/>
    <w:rsid w:val="00C70361"/>
    <w:rsid w:val="00C723CF"/>
    <w:rsid w:val="00C7330E"/>
    <w:rsid w:val="00C7565B"/>
    <w:rsid w:val="00C75BFA"/>
    <w:rsid w:val="00C76979"/>
    <w:rsid w:val="00C804A9"/>
    <w:rsid w:val="00C81421"/>
    <w:rsid w:val="00C814E0"/>
    <w:rsid w:val="00C82E65"/>
    <w:rsid w:val="00C8467B"/>
    <w:rsid w:val="00C8467D"/>
    <w:rsid w:val="00C84D92"/>
    <w:rsid w:val="00C84E3C"/>
    <w:rsid w:val="00C876AD"/>
    <w:rsid w:val="00C91479"/>
    <w:rsid w:val="00C93389"/>
    <w:rsid w:val="00C93571"/>
    <w:rsid w:val="00C93925"/>
    <w:rsid w:val="00C94262"/>
    <w:rsid w:val="00CA248E"/>
    <w:rsid w:val="00CA4CD5"/>
    <w:rsid w:val="00CB0592"/>
    <w:rsid w:val="00CB1495"/>
    <w:rsid w:val="00CB28C7"/>
    <w:rsid w:val="00CB749C"/>
    <w:rsid w:val="00CC1462"/>
    <w:rsid w:val="00CC1A1D"/>
    <w:rsid w:val="00CC3054"/>
    <w:rsid w:val="00CC377F"/>
    <w:rsid w:val="00CC43B6"/>
    <w:rsid w:val="00CC5558"/>
    <w:rsid w:val="00CC560A"/>
    <w:rsid w:val="00CC5652"/>
    <w:rsid w:val="00CC5E2E"/>
    <w:rsid w:val="00CC61C8"/>
    <w:rsid w:val="00CC67F9"/>
    <w:rsid w:val="00CC7737"/>
    <w:rsid w:val="00CD0F1E"/>
    <w:rsid w:val="00CD2271"/>
    <w:rsid w:val="00CD5684"/>
    <w:rsid w:val="00CD5B0D"/>
    <w:rsid w:val="00CD6363"/>
    <w:rsid w:val="00CD7A5B"/>
    <w:rsid w:val="00CE0F50"/>
    <w:rsid w:val="00CE15F4"/>
    <w:rsid w:val="00CE17DC"/>
    <w:rsid w:val="00CE26C5"/>
    <w:rsid w:val="00CE52A9"/>
    <w:rsid w:val="00CE7D32"/>
    <w:rsid w:val="00CF0320"/>
    <w:rsid w:val="00CF12A0"/>
    <w:rsid w:val="00CF1D34"/>
    <w:rsid w:val="00CF1F00"/>
    <w:rsid w:val="00CF217C"/>
    <w:rsid w:val="00CF36B8"/>
    <w:rsid w:val="00CF5784"/>
    <w:rsid w:val="00CF6526"/>
    <w:rsid w:val="00CF7B4D"/>
    <w:rsid w:val="00D0168D"/>
    <w:rsid w:val="00D0289D"/>
    <w:rsid w:val="00D032AB"/>
    <w:rsid w:val="00D03427"/>
    <w:rsid w:val="00D04774"/>
    <w:rsid w:val="00D04BC3"/>
    <w:rsid w:val="00D04DBE"/>
    <w:rsid w:val="00D04DCE"/>
    <w:rsid w:val="00D077F5"/>
    <w:rsid w:val="00D10C14"/>
    <w:rsid w:val="00D11256"/>
    <w:rsid w:val="00D1311B"/>
    <w:rsid w:val="00D15ED9"/>
    <w:rsid w:val="00D168E0"/>
    <w:rsid w:val="00D2094A"/>
    <w:rsid w:val="00D21A51"/>
    <w:rsid w:val="00D21D88"/>
    <w:rsid w:val="00D22A19"/>
    <w:rsid w:val="00D26FB2"/>
    <w:rsid w:val="00D30EF9"/>
    <w:rsid w:val="00D3275E"/>
    <w:rsid w:val="00D3346C"/>
    <w:rsid w:val="00D3531A"/>
    <w:rsid w:val="00D36CCB"/>
    <w:rsid w:val="00D40C9E"/>
    <w:rsid w:val="00D41416"/>
    <w:rsid w:val="00D419F6"/>
    <w:rsid w:val="00D422A5"/>
    <w:rsid w:val="00D42841"/>
    <w:rsid w:val="00D44899"/>
    <w:rsid w:val="00D448BB"/>
    <w:rsid w:val="00D44B7C"/>
    <w:rsid w:val="00D45A03"/>
    <w:rsid w:val="00D46871"/>
    <w:rsid w:val="00D47587"/>
    <w:rsid w:val="00D478C0"/>
    <w:rsid w:val="00D5010A"/>
    <w:rsid w:val="00D5043C"/>
    <w:rsid w:val="00D5235E"/>
    <w:rsid w:val="00D53B1F"/>
    <w:rsid w:val="00D55E7B"/>
    <w:rsid w:val="00D571E5"/>
    <w:rsid w:val="00D57F3C"/>
    <w:rsid w:val="00D62012"/>
    <w:rsid w:val="00D6306A"/>
    <w:rsid w:val="00D64768"/>
    <w:rsid w:val="00D64D4F"/>
    <w:rsid w:val="00D651BF"/>
    <w:rsid w:val="00D658A1"/>
    <w:rsid w:val="00D66FCE"/>
    <w:rsid w:val="00D705E5"/>
    <w:rsid w:val="00D70737"/>
    <w:rsid w:val="00D70DE9"/>
    <w:rsid w:val="00D7174F"/>
    <w:rsid w:val="00D72757"/>
    <w:rsid w:val="00D72FF8"/>
    <w:rsid w:val="00D75FB6"/>
    <w:rsid w:val="00D76E96"/>
    <w:rsid w:val="00D77739"/>
    <w:rsid w:val="00D809C1"/>
    <w:rsid w:val="00D821C6"/>
    <w:rsid w:val="00D82961"/>
    <w:rsid w:val="00D83A0F"/>
    <w:rsid w:val="00D83C72"/>
    <w:rsid w:val="00D841A7"/>
    <w:rsid w:val="00D8635E"/>
    <w:rsid w:val="00D866B6"/>
    <w:rsid w:val="00D86A67"/>
    <w:rsid w:val="00D870E1"/>
    <w:rsid w:val="00D871F0"/>
    <w:rsid w:val="00D87BB1"/>
    <w:rsid w:val="00D903C8"/>
    <w:rsid w:val="00D905D5"/>
    <w:rsid w:val="00D9087F"/>
    <w:rsid w:val="00D93C28"/>
    <w:rsid w:val="00D94000"/>
    <w:rsid w:val="00D94991"/>
    <w:rsid w:val="00D972DF"/>
    <w:rsid w:val="00D97851"/>
    <w:rsid w:val="00DA164B"/>
    <w:rsid w:val="00DA16C0"/>
    <w:rsid w:val="00DA2B21"/>
    <w:rsid w:val="00DA3F23"/>
    <w:rsid w:val="00DA4EF5"/>
    <w:rsid w:val="00DA5472"/>
    <w:rsid w:val="00DA5727"/>
    <w:rsid w:val="00DA5C3E"/>
    <w:rsid w:val="00DA6DF1"/>
    <w:rsid w:val="00DB0794"/>
    <w:rsid w:val="00DB0C7E"/>
    <w:rsid w:val="00DB1748"/>
    <w:rsid w:val="00DB23F2"/>
    <w:rsid w:val="00DB3B49"/>
    <w:rsid w:val="00DB5020"/>
    <w:rsid w:val="00DB66EC"/>
    <w:rsid w:val="00DB6761"/>
    <w:rsid w:val="00DB7B50"/>
    <w:rsid w:val="00DC1399"/>
    <w:rsid w:val="00DC1E5A"/>
    <w:rsid w:val="00DC3589"/>
    <w:rsid w:val="00DC47C3"/>
    <w:rsid w:val="00DC5054"/>
    <w:rsid w:val="00DC5174"/>
    <w:rsid w:val="00DC53DB"/>
    <w:rsid w:val="00DC61AB"/>
    <w:rsid w:val="00DC6BCC"/>
    <w:rsid w:val="00DD0AD0"/>
    <w:rsid w:val="00DD0B77"/>
    <w:rsid w:val="00DD10E6"/>
    <w:rsid w:val="00DD157A"/>
    <w:rsid w:val="00DD24AE"/>
    <w:rsid w:val="00DD24C5"/>
    <w:rsid w:val="00DD49C4"/>
    <w:rsid w:val="00DD5F2C"/>
    <w:rsid w:val="00DD72C7"/>
    <w:rsid w:val="00DE09C8"/>
    <w:rsid w:val="00DE0A96"/>
    <w:rsid w:val="00DE1439"/>
    <w:rsid w:val="00DE229C"/>
    <w:rsid w:val="00DE5B11"/>
    <w:rsid w:val="00DE6E30"/>
    <w:rsid w:val="00DE6EA6"/>
    <w:rsid w:val="00DE6F65"/>
    <w:rsid w:val="00DE6F79"/>
    <w:rsid w:val="00DE72A0"/>
    <w:rsid w:val="00DE7882"/>
    <w:rsid w:val="00DF0094"/>
    <w:rsid w:val="00DF17B8"/>
    <w:rsid w:val="00DF1AA8"/>
    <w:rsid w:val="00DF3A6E"/>
    <w:rsid w:val="00DF3A97"/>
    <w:rsid w:val="00DF3DA8"/>
    <w:rsid w:val="00DF4A62"/>
    <w:rsid w:val="00DF5BEC"/>
    <w:rsid w:val="00DF614E"/>
    <w:rsid w:val="00E00EFF"/>
    <w:rsid w:val="00E02183"/>
    <w:rsid w:val="00E027B9"/>
    <w:rsid w:val="00E02BD9"/>
    <w:rsid w:val="00E0356B"/>
    <w:rsid w:val="00E06B04"/>
    <w:rsid w:val="00E06C23"/>
    <w:rsid w:val="00E0732E"/>
    <w:rsid w:val="00E07A89"/>
    <w:rsid w:val="00E106A2"/>
    <w:rsid w:val="00E1183C"/>
    <w:rsid w:val="00E12124"/>
    <w:rsid w:val="00E12655"/>
    <w:rsid w:val="00E132C6"/>
    <w:rsid w:val="00E14244"/>
    <w:rsid w:val="00E15E54"/>
    <w:rsid w:val="00E160C8"/>
    <w:rsid w:val="00E20B07"/>
    <w:rsid w:val="00E21232"/>
    <w:rsid w:val="00E21B12"/>
    <w:rsid w:val="00E22697"/>
    <w:rsid w:val="00E22D7B"/>
    <w:rsid w:val="00E23EC1"/>
    <w:rsid w:val="00E25B41"/>
    <w:rsid w:val="00E26CCC"/>
    <w:rsid w:val="00E27DAF"/>
    <w:rsid w:val="00E312E0"/>
    <w:rsid w:val="00E328AF"/>
    <w:rsid w:val="00E328F6"/>
    <w:rsid w:val="00E32B3B"/>
    <w:rsid w:val="00E32ECE"/>
    <w:rsid w:val="00E33C3D"/>
    <w:rsid w:val="00E34986"/>
    <w:rsid w:val="00E34BE4"/>
    <w:rsid w:val="00E369AF"/>
    <w:rsid w:val="00E4085E"/>
    <w:rsid w:val="00E4106F"/>
    <w:rsid w:val="00E415FB"/>
    <w:rsid w:val="00E42CF2"/>
    <w:rsid w:val="00E44AF2"/>
    <w:rsid w:val="00E47151"/>
    <w:rsid w:val="00E47E4D"/>
    <w:rsid w:val="00E50C37"/>
    <w:rsid w:val="00E512B4"/>
    <w:rsid w:val="00E524BA"/>
    <w:rsid w:val="00E528FD"/>
    <w:rsid w:val="00E529E5"/>
    <w:rsid w:val="00E542C9"/>
    <w:rsid w:val="00E54E24"/>
    <w:rsid w:val="00E5512E"/>
    <w:rsid w:val="00E55453"/>
    <w:rsid w:val="00E55617"/>
    <w:rsid w:val="00E55AD1"/>
    <w:rsid w:val="00E55C73"/>
    <w:rsid w:val="00E56A40"/>
    <w:rsid w:val="00E56C85"/>
    <w:rsid w:val="00E61D3F"/>
    <w:rsid w:val="00E63426"/>
    <w:rsid w:val="00E640A6"/>
    <w:rsid w:val="00E64751"/>
    <w:rsid w:val="00E64A99"/>
    <w:rsid w:val="00E65185"/>
    <w:rsid w:val="00E668B3"/>
    <w:rsid w:val="00E70D10"/>
    <w:rsid w:val="00E71782"/>
    <w:rsid w:val="00E71985"/>
    <w:rsid w:val="00E71D11"/>
    <w:rsid w:val="00E77E81"/>
    <w:rsid w:val="00E82439"/>
    <w:rsid w:val="00E84114"/>
    <w:rsid w:val="00E85C6D"/>
    <w:rsid w:val="00E86A7F"/>
    <w:rsid w:val="00E875C9"/>
    <w:rsid w:val="00E90272"/>
    <w:rsid w:val="00E927D6"/>
    <w:rsid w:val="00E928EF"/>
    <w:rsid w:val="00E936B4"/>
    <w:rsid w:val="00E94B4C"/>
    <w:rsid w:val="00E95D66"/>
    <w:rsid w:val="00EA2D6C"/>
    <w:rsid w:val="00EA328F"/>
    <w:rsid w:val="00EA36EE"/>
    <w:rsid w:val="00EA4D30"/>
    <w:rsid w:val="00EA559A"/>
    <w:rsid w:val="00EA77DC"/>
    <w:rsid w:val="00EA7A05"/>
    <w:rsid w:val="00EA7EB8"/>
    <w:rsid w:val="00EB02F4"/>
    <w:rsid w:val="00EB0ADA"/>
    <w:rsid w:val="00EB4C31"/>
    <w:rsid w:val="00EB5D6A"/>
    <w:rsid w:val="00EB789E"/>
    <w:rsid w:val="00EB7C48"/>
    <w:rsid w:val="00EC07C3"/>
    <w:rsid w:val="00EC0D16"/>
    <w:rsid w:val="00EC10FB"/>
    <w:rsid w:val="00EC120A"/>
    <w:rsid w:val="00EC1A69"/>
    <w:rsid w:val="00EC4B10"/>
    <w:rsid w:val="00EC69AE"/>
    <w:rsid w:val="00EC6FA5"/>
    <w:rsid w:val="00ED02C5"/>
    <w:rsid w:val="00ED196F"/>
    <w:rsid w:val="00ED336D"/>
    <w:rsid w:val="00ED4948"/>
    <w:rsid w:val="00ED4D26"/>
    <w:rsid w:val="00ED545D"/>
    <w:rsid w:val="00ED57F3"/>
    <w:rsid w:val="00ED668A"/>
    <w:rsid w:val="00ED6A0F"/>
    <w:rsid w:val="00ED6BE8"/>
    <w:rsid w:val="00ED6D38"/>
    <w:rsid w:val="00ED71E4"/>
    <w:rsid w:val="00ED7F04"/>
    <w:rsid w:val="00EE0719"/>
    <w:rsid w:val="00EE0DA2"/>
    <w:rsid w:val="00EE3B9A"/>
    <w:rsid w:val="00EE493C"/>
    <w:rsid w:val="00EE4A30"/>
    <w:rsid w:val="00EE6150"/>
    <w:rsid w:val="00EE666D"/>
    <w:rsid w:val="00EF22A6"/>
    <w:rsid w:val="00EF2657"/>
    <w:rsid w:val="00EF33B0"/>
    <w:rsid w:val="00EF3EA0"/>
    <w:rsid w:val="00EF4F74"/>
    <w:rsid w:val="00EF5503"/>
    <w:rsid w:val="00EF7537"/>
    <w:rsid w:val="00F000C5"/>
    <w:rsid w:val="00F0012C"/>
    <w:rsid w:val="00F01450"/>
    <w:rsid w:val="00F01462"/>
    <w:rsid w:val="00F01C9D"/>
    <w:rsid w:val="00F0371B"/>
    <w:rsid w:val="00F05594"/>
    <w:rsid w:val="00F0637A"/>
    <w:rsid w:val="00F06C27"/>
    <w:rsid w:val="00F079EF"/>
    <w:rsid w:val="00F10477"/>
    <w:rsid w:val="00F10D93"/>
    <w:rsid w:val="00F11308"/>
    <w:rsid w:val="00F128D3"/>
    <w:rsid w:val="00F12BD9"/>
    <w:rsid w:val="00F134A8"/>
    <w:rsid w:val="00F13B4F"/>
    <w:rsid w:val="00F14E69"/>
    <w:rsid w:val="00F15E07"/>
    <w:rsid w:val="00F16CD7"/>
    <w:rsid w:val="00F16F71"/>
    <w:rsid w:val="00F16FCC"/>
    <w:rsid w:val="00F176F5"/>
    <w:rsid w:val="00F227EE"/>
    <w:rsid w:val="00F22C75"/>
    <w:rsid w:val="00F23710"/>
    <w:rsid w:val="00F23BC6"/>
    <w:rsid w:val="00F23E9F"/>
    <w:rsid w:val="00F24362"/>
    <w:rsid w:val="00F24662"/>
    <w:rsid w:val="00F27265"/>
    <w:rsid w:val="00F27C1E"/>
    <w:rsid w:val="00F30C68"/>
    <w:rsid w:val="00F315B5"/>
    <w:rsid w:val="00F3189E"/>
    <w:rsid w:val="00F318FE"/>
    <w:rsid w:val="00F32739"/>
    <w:rsid w:val="00F341FF"/>
    <w:rsid w:val="00F35473"/>
    <w:rsid w:val="00F36536"/>
    <w:rsid w:val="00F369C0"/>
    <w:rsid w:val="00F36D35"/>
    <w:rsid w:val="00F3708A"/>
    <w:rsid w:val="00F37416"/>
    <w:rsid w:val="00F41555"/>
    <w:rsid w:val="00F41B5C"/>
    <w:rsid w:val="00F424E5"/>
    <w:rsid w:val="00F430FC"/>
    <w:rsid w:val="00F456C8"/>
    <w:rsid w:val="00F476E2"/>
    <w:rsid w:val="00F51E33"/>
    <w:rsid w:val="00F52F0B"/>
    <w:rsid w:val="00F53000"/>
    <w:rsid w:val="00F541E6"/>
    <w:rsid w:val="00F556A9"/>
    <w:rsid w:val="00F55C46"/>
    <w:rsid w:val="00F564C4"/>
    <w:rsid w:val="00F573E5"/>
    <w:rsid w:val="00F60215"/>
    <w:rsid w:val="00F602A4"/>
    <w:rsid w:val="00F60518"/>
    <w:rsid w:val="00F61358"/>
    <w:rsid w:val="00F61FA1"/>
    <w:rsid w:val="00F6257E"/>
    <w:rsid w:val="00F62C41"/>
    <w:rsid w:val="00F65021"/>
    <w:rsid w:val="00F65DE5"/>
    <w:rsid w:val="00F666A5"/>
    <w:rsid w:val="00F70E2F"/>
    <w:rsid w:val="00F720CF"/>
    <w:rsid w:val="00F74058"/>
    <w:rsid w:val="00F744AD"/>
    <w:rsid w:val="00F75AB9"/>
    <w:rsid w:val="00F762AC"/>
    <w:rsid w:val="00F76C5A"/>
    <w:rsid w:val="00F8052B"/>
    <w:rsid w:val="00F80646"/>
    <w:rsid w:val="00F8070D"/>
    <w:rsid w:val="00F80959"/>
    <w:rsid w:val="00F80A45"/>
    <w:rsid w:val="00F8292B"/>
    <w:rsid w:val="00F85313"/>
    <w:rsid w:val="00F861A1"/>
    <w:rsid w:val="00F872BE"/>
    <w:rsid w:val="00F87EC1"/>
    <w:rsid w:val="00F9079D"/>
    <w:rsid w:val="00F9114B"/>
    <w:rsid w:val="00F916E9"/>
    <w:rsid w:val="00F91A36"/>
    <w:rsid w:val="00F937A8"/>
    <w:rsid w:val="00F939B8"/>
    <w:rsid w:val="00F94BD5"/>
    <w:rsid w:val="00F96367"/>
    <w:rsid w:val="00FA1391"/>
    <w:rsid w:val="00FA2C7C"/>
    <w:rsid w:val="00FA2E56"/>
    <w:rsid w:val="00FA490F"/>
    <w:rsid w:val="00FA5181"/>
    <w:rsid w:val="00FA52D9"/>
    <w:rsid w:val="00FA6987"/>
    <w:rsid w:val="00FA6A50"/>
    <w:rsid w:val="00FB0850"/>
    <w:rsid w:val="00FB19E5"/>
    <w:rsid w:val="00FB295B"/>
    <w:rsid w:val="00FB2DBC"/>
    <w:rsid w:val="00FB3C5D"/>
    <w:rsid w:val="00FB40AC"/>
    <w:rsid w:val="00FB673E"/>
    <w:rsid w:val="00FB7D02"/>
    <w:rsid w:val="00FC0273"/>
    <w:rsid w:val="00FC2024"/>
    <w:rsid w:val="00FC25FE"/>
    <w:rsid w:val="00FC3BCF"/>
    <w:rsid w:val="00FC46A0"/>
    <w:rsid w:val="00FC4E81"/>
    <w:rsid w:val="00FC5429"/>
    <w:rsid w:val="00FC6CE0"/>
    <w:rsid w:val="00FC794F"/>
    <w:rsid w:val="00FC7A71"/>
    <w:rsid w:val="00FC7E13"/>
    <w:rsid w:val="00FD0F59"/>
    <w:rsid w:val="00FD115C"/>
    <w:rsid w:val="00FD1221"/>
    <w:rsid w:val="00FD14A9"/>
    <w:rsid w:val="00FD151B"/>
    <w:rsid w:val="00FD2BFF"/>
    <w:rsid w:val="00FD4EED"/>
    <w:rsid w:val="00FD5247"/>
    <w:rsid w:val="00FD59EC"/>
    <w:rsid w:val="00FD664C"/>
    <w:rsid w:val="00FD7E23"/>
    <w:rsid w:val="00FE0018"/>
    <w:rsid w:val="00FE0049"/>
    <w:rsid w:val="00FE0A12"/>
    <w:rsid w:val="00FE0EAF"/>
    <w:rsid w:val="00FE108A"/>
    <w:rsid w:val="00FE21CF"/>
    <w:rsid w:val="00FE39BE"/>
    <w:rsid w:val="00FE5C7A"/>
    <w:rsid w:val="00FE6988"/>
    <w:rsid w:val="00FE77DC"/>
    <w:rsid w:val="00FF03F4"/>
    <w:rsid w:val="00FF03FE"/>
    <w:rsid w:val="00FF0E74"/>
    <w:rsid w:val="00FF2FEF"/>
    <w:rsid w:val="00FF387B"/>
    <w:rsid w:val="00F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83B6FE"/>
  <w15:docId w15:val="{3809A279-9D40-4D57-9A96-D289ACA9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302C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168A"/>
    <w:pPr>
      <w:keepNext/>
      <w:keepLines/>
      <w:numPr>
        <w:numId w:val="21"/>
      </w:numPr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D7B0D"/>
    <w:pPr>
      <w:keepNext/>
      <w:keepLines/>
      <w:numPr>
        <w:ilvl w:val="1"/>
        <w:numId w:val="21"/>
      </w:numPr>
      <w:spacing w:before="40"/>
      <w:outlineLvl w:val="1"/>
    </w:pPr>
    <w:rPr>
      <w:rFonts w:ascii="Arial Black" w:eastAsiaTheme="majorEastAsia" w:hAnsi="Arial Black" w:cstheme="majorBidi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3189E"/>
    <w:pPr>
      <w:keepNext/>
      <w:keepLines/>
      <w:numPr>
        <w:ilvl w:val="2"/>
        <w:numId w:val="21"/>
      </w:numPr>
      <w:spacing w:before="40"/>
      <w:outlineLvl w:val="2"/>
    </w:pPr>
    <w:rPr>
      <w:rFonts w:ascii="Arial Black" w:eastAsiaTheme="majorEastAsia" w:hAnsi="Arial Black" w:cstheme="majorBidi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D2515"/>
    <w:pPr>
      <w:keepNext/>
      <w:keepLines/>
      <w:numPr>
        <w:ilvl w:val="3"/>
        <w:numId w:val="2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D2515"/>
    <w:pPr>
      <w:keepNext/>
      <w:keepLines/>
      <w:numPr>
        <w:ilvl w:val="4"/>
        <w:numId w:val="2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D2515"/>
    <w:pPr>
      <w:keepNext/>
      <w:keepLines/>
      <w:numPr>
        <w:ilvl w:val="5"/>
        <w:numId w:val="2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D2515"/>
    <w:pPr>
      <w:keepNext/>
      <w:keepLines/>
      <w:numPr>
        <w:ilvl w:val="6"/>
        <w:numId w:val="2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D2515"/>
    <w:pPr>
      <w:keepNext/>
      <w:keepLines/>
      <w:numPr>
        <w:ilvl w:val="7"/>
        <w:numId w:val="2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D2515"/>
    <w:pPr>
      <w:keepNext/>
      <w:keepLines/>
      <w:numPr>
        <w:ilvl w:val="8"/>
        <w:numId w:val="2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4F30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302C"/>
    <w:rPr>
      <w:rFonts w:eastAsia="Times New Roman" w:cs="Times New Roman"/>
      <w:szCs w:val="24"/>
      <w:lang w:eastAsia="cs-CZ"/>
    </w:rPr>
  </w:style>
  <w:style w:type="character" w:styleId="slostrany">
    <w:name w:val="page number"/>
    <w:basedOn w:val="Predvolenpsmoodseku"/>
    <w:rsid w:val="004F302C"/>
  </w:style>
  <w:style w:type="paragraph" w:styleId="Hlavika">
    <w:name w:val="header"/>
    <w:basedOn w:val="Normlny"/>
    <w:link w:val="HlavikaChar"/>
    <w:uiPriority w:val="99"/>
    <w:rsid w:val="004F30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302C"/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y"/>
    <w:link w:val="TextbublinyChar"/>
    <w:semiHidden/>
    <w:rsid w:val="004F30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4F302C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60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022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022C"/>
    <w:rPr>
      <w:rFonts w:eastAsia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0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022C"/>
    <w:rPr>
      <w:rFonts w:eastAsia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8056EF"/>
    <w:pPr>
      <w:ind w:left="720"/>
      <w:contextualSpacing/>
    </w:pPr>
  </w:style>
  <w:style w:type="table" w:styleId="Mriekatabuky">
    <w:name w:val="Table Grid"/>
    <w:basedOn w:val="Normlnatabuka"/>
    <w:uiPriority w:val="39"/>
    <w:rsid w:val="00737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mnzvraznenie">
    <w:name w:val="Subtle Emphasis"/>
    <w:basedOn w:val="Predvolenpsmoodseku"/>
    <w:uiPriority w:val="19"/>
    <w:qFormat/>
    <w:rsid w:val="00746984"/>
    <w:rPr>
      <w:i/>
      <w:iCs/>
      <w:color w:val="404040" w:themeColor="text1" w:themeTint="BF"/>
    </w:rPr>
  </w:style>
  <w:style w:type="character" w:customStyle="1" w:styleId="Nadpis1Char">
    <w:name w:val="Nadpis 1 Char"/>
    <w:basedOn w:val="Predvolenpsmoodseku"/>
    <w:link w:val="Nadpis1"/>
    <w:uiPriority w:val="9"/>
    <w:rsid w:val="00A3168A"/>
    <w:rPr>
      <w:rFonts w:eastAsiaTheme="majorEastAsia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9D7B0D"/>
    <w:rPr>
      <w:rFonts w:ascii="Arial Black" w:eastAsiaTheme="majorEastAsia" w:hAnsi="Arial Black" w:cstheme="majorBidi"/>
      <w:szCs w:val="26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F3189E"/>
    <w:rPr>
      <w:rFonts w:ascii="Arial Black" w:eastAsiaTheme="majorEastAsia" w:hAnsi="Arial Black" w:cstheme="majorBidi"/>
      <w:szCs w:val="24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2D2515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D2515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D251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D251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D25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D25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9D7B0D"/>
    <w:pPr>
      <w:numPr>
        <w:numId w:val="0"/>
      </w:numPr>
      <w:spacing w:line="259" w:lineRule="auto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776011"/>
    <w:pPr>
      <w:tabs>
        <w:tab w:val="left" w:pos="1276"/>
        <w:tab w:val="right" w:leader="dot" w:pos="9060"/>
      </w:tabs>
      <w:spacing w:after="100"/>
      <w:ind w:left="284" w:hanging="284"/>
    </w:pPr>
  </w:style>
  <w:style w:type="character" w:styleId="Hypertextovprepojenie">
    <w:name w:val="Hyperlink"/>
    <w:basedOn w:val="Predvolenpsmoodseku"/>
    <w:uiPriority w:val="99"/>
    <w:unhideWhenUsed/>
    <w:rsid w:val="009D7B0D"/>
    <w:rPr>
      <w:color w:val="0000FF" w:themeColor="hyperlink"/>
      <w:u w:val="single"/>
    </w:rPr>
  </w:style>
  <w:style w:type="paragraph" w:styleId="Nzov">
    <w:name w:val="Title"/>
    <w:aliases w:val="Nadpis 3 môj"/>
    <w:basedOn w:val="Normlny"/>
    <w:next w:val="Normlny"/>
    <w:link w:val="NzovChar"/>
    <w:uiPriority w:val="10"/>
    <w:qFormat/>
    <w:rsid w:val="009D7B0D"/>
    <w:pPr>
      <w:numPr>
        <w:numId w:val="25"/>
      </w:numPr>
      <w:contextualSpacing/>
    </w:pPr>
    <w:rPr>
      <w:rFonts w:ascii="Arial Black" w:eastAsiaTheme="majorEastAsia" w:hAnsi="Arial Black" w:cstheme="majorBidi"/>
      <w:spacing w:val="-10"/>
      <w:kern w:val="28"/>
      <w:szCs w:val="56"/>
    </w:rPr>
  </w:style>
  <w:style w:type="character" w:customStyle="1" w:styleId="NzovChar">
    <w:name w:val="Názov Char"/>
    <w:aliases w:val="Nadpis 3 môj Char"/>
    <w:basedOn w:val="Predvolenpsmoodseku"/>
    <w:link w:val="Nzov"/>
    <w:uiPriority w:val="10"/>
    <w:rsid w:val="009D7B0D"/>
    <w:rPr>
      <w:rFonts w:ascii="Arial Black" w:eastAsiaTheme="majorEastAsia" w:hAnsi="Arial Black" w:cstheme="majorBidi"/>
      <w:spacing w:val="-10"/>
      <w:kern w:val="28"/>
      <w:szCs w:val="5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E369AF"/>
    <w:pPr>
      <w:tabs>
        <w:tab w:val="right" w:leader="dot" w:pos="9060"/>
      </w:tabs>
      <w:spacing w:after="100"/>
      <w:ind w:left="851" w:hanging="611"/>
    </w:pPr>
  </w:style>
  <w:style w:type="paragraph" w:styleId="Obsah3">
    <w:name w:val="toc 3"/>
    <w:basedOn w:val="Normlny"/>
    <w:next w:val="Normlny"/>
    <w:autoRedefine/>
    <w:uiPriority w:val="39"/>
    <w:unhideWhenUsed/>
    <w:rsid w:val="005B06B0"/>
    <w:pPr>
      <w:tabs>
        <w:tab w:val="right" w:leader="dot" w:pos="9060"/>
      </w:tabs>
      <w:spacing w:after="100"/>
      <w:ind w:left="1276" w:hanging="796"/>
    </w:pPr>
  </w:style>
  <w:style w:type="character" w:customStyle="1" w:styleId="OdsekzoznamuChar">
    <w:name w:val="Odsek zoznamu Char"/>
    <w:link w:val="Odsekzoznamu"/>
    <w:uiPriority w:val="34"/>
    <w:rsid w:val="00BE2C7A"/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N&#225;vrh%20ZU%2002%20KP%20SR\N&#225;vrh%20ZU%202020\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sk-SK"/>
              <a:t>Štruktúra výdavkov v kategórii 630 - Tovary a služby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E306-44EB-8B4F-DC018E77D895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E306-44EB-8B4F-DC018E77D895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E306-44EB-8B4F-DC018E77D895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E306-44EB-8B4F-DC018E77D895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E306-44EB-8B4F-DC018E77D895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E306-44EB-8B4F-DC018E77D895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E306-44EB-8B4F-DC018E77D895}"/>
              </c:ext>
            </c:extLst>
          </c:dPt>
          <c:dLbls>
            <c:dLbl>
              <c:idx val="0"/>
              <c:layout>
                <c:manualLayout>
                  <c:x val="7.7419291338582677E-2"/>
                  <c:y val="1.4822105570137067E-3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631 - Cestovné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2,07 %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E306-44EB-8B4F-DC018E77D895}"/>
                </c:ext>
              </c:extLst>
            </c:dLbl>
            <c:dLbl>
              <c:idx val="1"/>
              <c:layout>
                <c:manualLayout>
                  <c:x val="3.9943569553805777E-2"/>
                  <c:y val="5.2282370953630794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632 - Energie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12,85 %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306-44EB-8B4F-DC018E77D895}"/>
                </c:ext>
              </c:extLst>
            </c:dLbl>
            <c:dLbl>
              <c:idx val="2"/>
              <c:layout>
                <c:manualLayout>
                  <c:x val="-2.3837020372462756E-4"/>
                  <c:y val="-0.12090181035062925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   633 - Materiál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14,87 %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E306-44EB-8B4F-DC018E77D895}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634 - Dopravné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2,34 %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306-44EB-8B4F-DC018E77D895}"/>
                </c:ext>
              </c:extLst>
            </c:dLbl>
            <c:dLbl>
              <c:idx val="4"/>
              <c:layout>
                <c:manualLayout>
                  <c:x val="7.9284776902887131E-3"/>
                  <c:y val="6.6254738990959459E-3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635 - Údržba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15,26 %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E306-44EB-8B4F-DC018E77D895}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636 - Nájomné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0,80 %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306-44EB-8B4F-DC018E77D895}"/>
                </c:ext>
              </c:extLst>
            </c:dLbl>
            <c:dLbl>
              <c:idx val="6"/>
              <c:layout>
                <c:manualLayout>
                  <c:x val="-4.3990501187351587E-3"/>
                  <c:y val="-6.5204253314489535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637 - Služby</a:t>
                    </a:r>
                  </a:p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51,82 %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E306-44EB-8B4F-DC018E77D895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sk-SK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'Štruktúra výdavkov'!$A$3:$A$9</c:f>
              <c:strCache>
                <c:ptCount val="7"/>
                <c:pt idx="0">
                  <c:v>631 - Cestovné</c:v>
                </c:pt>
                <c:pt idx="1">
                  <c:v>632 - Energie</c:v>
                </c:pt>
                <c:pt idx="2">
                  <c:v>633 - Materiál</c:v>
                </c:pt>
                <c:pt idx="3">
                  <c:v>634 - Dopravné</c:v>
                </c:pt>
                <c:pt idx="4">
                  <c:v>635 - Opravy</c:v>
                </c:pt>
                <c:pt idx="5">
                  <c:v>636 - Nájomné</c:v>
                </c:pt>
                <c:pt idx="6">
                  <c:v>637 - Služby</c:v>
                </c:pt>
              </c:strCache>
            </c:strRef>
          </c:cat>
          <c:val>
            <c:numRef>
              <c:f>'Štruktúra výdavkov'!$B$3:$B$9</c:f>
              <c:numCache>
                <c:formatCode>#,##0.00</c:formatCode>
                <c:ptCount val="7"/>
                <c:pt idx="0">
                  <c:v>30195.200000000001</c:v>
                </c:pt>
                <c:pt idx="1">
                  <c:v>187680.14</c:v>
                </c:pt>
                <c:pt idx="2">
                  <c:v>217119.25</c:v>
                </c:pt>
                <c:pt idx="3">
                  <c:v>34238.83</c:v>
                </c:pt>
                <c:pt idx="4">
                  <c:v>222807.26</c:v>
                </c:pt>
                <c:pt idx="5">
                  <c:v>11665.27</c:v>
                </c:pt>
                <c:pt idx="6">
                  <c:v>756776.74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E306-44EB-8B4F-DC018E77D8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F3F66-6CA8-4630-A490-2806DEE9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7447</Words>
  <Characters>42453</Characters>
  <Application>Microsoft Office Word</Application>
  <DocSecurity>0</DocSecurity>
  <Lines>353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MHorvathova</dc:creator>
  <cp:lastModifiedBy>Barbora Novotná</cp:lastModifiedBy>
  <cp:revision>2</cp:revision>
  <cp:lastPrinted>2021-05-26T08:20:00Z</cp:lastPrinted>
  <dcterms:created xsi:type="dcterms:W3CDTF">2021-05-28T07:49:00Z</dcterms:created>
  <dcterms:modified xsi:type="dcterms:W3CDTF">2021-05-28T07:49:00Z</dcterms:modified>
</cp:coreProperties>
</file>